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DA93" w14:textId="428BEE9F" w:rsidR="00A32EF8" w:rsidRPr="001A7DCD" w:rsidRDefault="004C35F4" w:rsidP="000D1EAC">
      <w:pPr>
        <w:rPr>
          <w:rFonts w:ascii="Arial" w:hAnsi="Arial" w:cs="Arial"/>
          <w:b/>
          <w:bCs/>
          <w:sz w:val="20"/>
          <w:szCs w:val="20"/>
          <w:lang w:val="en-GB"/>
        </w:rPr>
      </w:pPr>
      <w:r w:rsidRPr="001A7DCD">
        <w:rPr>
          <w:rFonts w:ascii="Arial" w:hAnsi="Arial" w:cs="Arial"/>
          <w:b/>
          <w:bCs/>
          <w:sz w:val="20"/>
          <w:szCs w:val="20"/>
          <w:lang w:val="en-GB"/>
        </w:rPr>
        <w:t>Schedule</w:t>
      </w:r>
      <w:r w:rsidR="009C43A4" w:rsidRPr="001A7DCD">
        <w:rPr>
          <w:rFonts w:ascii="Arial" w:hAnsi="Arial" w:cs="Arial"/>
          <w:b/>
          <w:bCs/>
          <w:sz w:val="20"/>
          <w:szCs w:val="20"/>
          <w:lang w:val="en-GB"/>
        </w:rPr>
        <w:t xml:space="preserve"> 1 </w:t>
      </w:r>
      <w:r w:rsidR="00720027" w:rsidRPr="001A7DCD">
        <w:rPr>
          <w:rFonts w:ascii="Arial" w:hAnsi="Arial" w:cs="Arial"/>
          <w:b/>
          <w:bCs/>
          <w:sz w:val="20"/>
          <w:szCs w:val="20"/>
          <w:lang w:val="en-GB"/>
        </w:rPr>
        <w:t>–</w:t>
      </w:r>
      <w:r w:rsidR="009C43A4" w:rsidRPr="001A7DCD">
        <w:rPr>
          <w:rFonts w:ascii="Arial" w:hAnsi="Arial" w:cs="Arial"/>
          <w:b/>
          <w:bCs/>
          <w:sz w:val="20"/>
          <w:szCs w:val="20"/>
          <w:lang w:val="en-GB"/>
        </w:rPr>
        <w:t xml:space="preserve"> </w:t>
      </w:r>
      <w:r w:rsidRPr="001A7DCD">
        <w:rPr>
          <w:rFonts w:ascii="Arial" w:hAnsi="Arial" w:cs="Arial"/>
          <w:b/>
          <w:bCs/>
          <w:sz w:val="20"/>
          <w:szCs w:val="20"/>
          <w:lang w:val="en-GB"/>
        </w:rPr>
        <w:t>Investment Eligibility Criteria</w:t>
      </w:r>
    </w:p>
    <w:p w14:paraId="2EEBF196" w14:textId="77777777" w:rsidR="00AD0001" w:rsidRPr="001A7DCD" w:rsidRDefault="00AD0001" w:rsidP="000D1EAC">
      <w:pPr>
        <w:jc w:val="center"/>
        <w:rPr>
          <w:rStyle w:val="normaltextrun"/>
          <w:rFonts w:ascii="Arial" w:hAnsi="Arial" w:cs="Arial"/>
          <w:b/>
          <w:bCs/>
          <w:sz w:val="20"/>
          <w:szCs w:val="20"/>
          <w:lang w:val="en-GB"/>
        </w:rPr>
      </w:pPr>
    </w:p>
    <w:p w14:paraId="18E3BC7B" w14:textId="14EC7CE1" w:rsidR="007F7C14" w:rsidRPr="001A7DCD" w:rsidRDefault="001A7DCD" w:rsidP="000D1EAC">
      <w:pPr>
        <w:pStyle w:val="paragraph"/>
        <w:numPr>
          <w:ilvl w:val="0"/>
          <w:numId w:val="32"/>
        </w:numPr>
        <w:spacing w:before="0" w:beforeAutospacing="0" w:after="0"/>
        <w:ind w:right="-30"/>
        <w:jc w:val="both"/>
        <w:textAlignment w:val="baseline"/>
        <w:rPr>
          <w:rStyle w:val="normaltextrun"/>
          <w:rFonts w:ascii="Arial" w:hAnsi="Arial" w:cs="Arial"/>
          <w:sz w:val="20"/>
          <w:szCs w:val="20"/>
          <w:shd w:val="clear" w:color="auto" w:fill="FFFFFF"/>
          <w:lang w:val="en-GB"/>
        </w:rPr>
      </w:pPr>
      <w:r>
        <w:rPr>
          <w:rStyle w:val="normaltextrun"/>
          <w:rFonts w:ascii="Arial" w:eastAsiaTheme="majorEastAsia" w:hAnsi="Arial" w:cs="Arial"/>
          <w:b/>
          <w:bCs/>
          <w:sz w:val="20"/>
          <w:szCs w:val="20"/>
          <w:lang w:val="en-GB"/>
        </w:rPr>
        <w:t>Eligible investments</w:t>
      </w:r>
    </w:p>
    <w:p w14:paraId="2867C978" w14:textId="1DD7FED2" w:rsidR="40B4E15E" w:rsidRPr="001A7DCD" w:rsidRDefault="40B4E15E" w:rsidP="40B4E15E">
      <w:pPr>
        <w:pStyle w:val="paragraph"/>
        <w:spacing w:before="0" w:beforeAutospacing="0" w:after="0"/>
        <w:ind w:left="720" w:right="-30"/>
        <w:jc w:val="both"/>
        <w:rPr>
          <w:rStyle w:val="normaltextrun"/>
          <w:rFonts w:ascii="Arial" w:hAnsi="Arial" w:cs="Arial"/>
          <w:sz w:val="20"/>
          <w:szCs w:val="20"/>
          <w:lang w:val="en-GB"/>
        </w:rPr>
      </w:pPr>
    </w:p>
    <w:p w14:paraId="5938F203" w14:textId="6826D55C" w:rsidR="40B4E15E" w:rsidRPr="001A7DCD" w:rsidRDefault="00244ECA" w:rsidP="00080163">
      <w:pPr>
        <w:pStyle w:val="paragraph"/>
        <w:spacing w:before="0" w:beforeAutospacing="0" w:after="0"/>
        <w:ind w:right="-30"/>
        <w:jc w:val="both"/>
        <w:textAlignment w:val="baseline"/>
        <w:rPr>
          <w:rStyle w:val="normaltextrun"/>
          <w:rFonts w:ascii="Arial" w:eastAsiaTheme="majorEastAsia" w:hAnsi="Arial" w:cs="Arial"/>
          <w:sz w:val="20"/>
          <w:szCs w:val="20"/>
          <w:lang w:val="en-GB"/>
        </w:rPr>
      </w:pPr>
      <w:r>
        <w:rPr>
          <w:rStyle w:val="normaltextrun"/>
          <w:rFonts w:ascii="Arial" w:eastAsiaTheme="majorEastAsia" w:hAnsi="Arial" w:cs="Arial"/>
          <w:sz w:val="20"/>
          <w:szCs w:val="20"/>
          <w:lang w:val="en-GB"/>
        </w:rPr>
        <w:t>Eligible investments</w:t>
      </w:r>
      <w:r w:rsidR="00C566C3">
        <w:rPr>
          <w:rStyle w:val="normaltextrun"/>
          <w:rFonts w:ascii="Arial" w:eastAsiaTheme="majorEastAsia" w:hAnsi="Arial" w:cs="Arial"/>
          <w:sz w:val="20"/>
          <w:szCs w:val="20"/>
          <w:lang w:val="en-GB"/>
        </w:rPr>
        <w:t xml:space="preserve"> include</w:t>
      </w:r>
      <w:r w:rsidR="00080163" w:rsidRPr="001A7DCD">
        <w:rPr>
          <w:rStyle w:val="normaltextrun"/>
          <w:rFonts w:ascii="Arial" w:eastAsiaTheme="majorEastAsia" w:hAnsi="Arial" w:cs="Arial"/>
          <w:sz w:val="20"/>
          <w:szCs w:val="20"/>
          <w:lang w:val="en-GB"/>
        </w:rPr>
        <w:t>:</w:t>
      </w:r>
    </w:p>
    <w:p w14:paraId="3E97E809" w14:textId="3CDC413B" w:rsidR="00E05765" w:rsidRPr="001A7DCD" w:rsidRDefault="00C566C3" w:rsidP="00E05765">
      <w:pPr>
        <w:pStyle w:val="paragraph"/>
        <w:numPr>
          <w:ilvl w:val="0"/>
          <w:numId w:val="38"/>
        </w:numPr>
        <w:spacing w:before="0" w:beforeAutospacing="0" w:after="0"/>
        <w:ind w:right="-30"/>
        <w:jc w:val="both"/>
        <w:textAlignment w:val="baseline"/>
        <w:rPr>
          <w:rStyle w:val="normaltextrun"/>
          <w:rFonts w:ascii="Arial" w:hAnsi="Arial" w:cs="Arial"/>
          <w:sz w:val="20"/>
          <w:szCs w:val="20"/>
          <w:shd w:val="clear" w:color="auto" w:fill="FFFFFF"/>
          <w:lang w:val="en-GB"/>
        </w:rPr>
      </w:pPr>
      <w:r>
        <w:rPr>
          <w:rStyle w:val="normaltextrun"/>
          <w:rFonts w:ascii="Arial" w:eastAsiaTheme="majorEastAsia" w:hAnsi="Arial" w:cs="Arial"/>
          <w:sz w:val="20"/>
          <w:szCs w:val="20"/>
          <w:lang w:val="en-GB"/>
        </w:rPr>
        <w:t>construction</w:t>
      </w:r>
      <w:r w:rsidR="00720027" w:rsidRPr="001A7DCD">
        <w:rPr>
          <w:rStyle w:val="normaltextrun"/>
          <w:rFonts w:ascii="Arial" w:eastAsiaTheme="majorEastAsia" w:hAnsi="Arial" w:cs="Arial"/>
          <w:sz w:val="20"/>
          <w:szCs w:val="20"/>
          <w:lang w:val="en-GB"/>
        </w:rPr>
        <w:t>, re</w:t>
      </w:r>
      <w:r>
        <w:rPr>
          <w:rStyle w:val="normaltextrun"/>
          <w:rFonts w:ascii="Arial" w:eastAsiaTheme="majorEastAsia" w:hAnsi="Arial" w:cs="Arial"/>
          <w:sz w:val="20"/>
          <w:szCs w:val="20"/>
          <w:lang w:val="en-GB"/>
        </w:rPr>
        <w:t>c</w:t>
      </w:r>
      <w:r w:rsidR="00720027" w:rsidRPr="001A7DCD">
        <w:rPr>
          <w:rStyle w:val="normaltextrun"/>
          <w:rFonts w:ascii="Arial" w:eastAsiaTheme="majorEastAsia" w:hAnsi="Arial" w:cs="Arial"/>
          <w:sz w:val="20"/>
          <w:szCs w:val="20"/>
          <w:lang w:val="en-GB"/>
        </w:rPr>
        <w:t>onstru</w:t>
      </w:r>
      <w:r>
        <w:rPr>
          <w:rStyle w:val="normaltextrun"/>
          <w:rFonts w:ascii="Arial" w:eastAsiaTheme="majorEastAsia" w:hAnsi="Arial" w:cs="Arial"/>
          <w:sz w:val="20"/>
          <w:szCs w:val="20"/>
          <w:lang w:val="en-GB"/>
        </w:rPr>
        <w:t>ction and/or arrangement and equipping of</w:t>
      </w:r>
      <w:r w:rsidR="00720027" w:rsidRPr="001A7DCD">
        <w:rPr>
          <w:rStyle w:val="normaltextrun"/>
          <w:rFonts w:ascii="Arial" w:eastAsiaTheme="majorEastAsia" w:hAnsi="Arial" w:cs="Arial"/>
          <w:sz w:val="20"/>
          <w:szCs w:val="20"/>
          <w:lang w:val="en-GB"/>
        </w:rPr>
        <w:t xml:space="preserve"> </w:t>
      </w:r>
      <w:r w:rsidR="00DB2D42">
        <w:rPr>
          <w:rStyle w:val="normaltextrun"/>
          <w:rFonts w:ascii="Arial" w:eastAsiaTheme="majorEastAsia" w:hAnsi="Arial" w:cs="Arial"/>
          <w:sz w:val="20"/>
          <w:szCs w:val="20"/>
          <w:lang w:val="en-GB"/>
        </w:rPr>
        <w:t>hospitality</w:t>
      </w:r>
      <w:r>
        <w:rPr>
          <w:rStyle w:val="normaltextrun"/>
          <w:rFonts w:ascii="Arial" w:eastAsiaTheme="majorEastAsia" w:hAnsi="Arial" w:cs="Arial"/>
          <w:sz w:val="20"/>
          <w:szCs w:val="20"/>
          <w:lang w:val="en-GB"/>
        </w:rPr>
        <w:t xml:space="preserve"> establishments for</w:t>
      </w:r>
      <w:r w:rsidR="00720027" w:rsidRPr="001A7DCD">
        <w:rPr>
          <w:rStyle w:val="normaltextrun"/>
          <w:rFonts w:ascii="Arial" w:eastAsiaTheme="majorEastAsia" w:hAnsi="Arial" w:cs="Arial"/>
          <w:sz w:val="20"/>
          <w:szCs w:val="20"/>
          <w:lang w:val="en-GB"/>
        </w:rPr>
        <w:t xml:space="preserve"> </w:t>
      </w:r>
      <w:r w:rsidR="00DB2D42">
        <w:rPr>
          <w:rStyle w:val="normaltextrun"/>
          <w:rFonts w:ascii="Arial" w:eastAsiaTheme="majorEastAsia" w:hAnsi="Arial" w:cs="Arial"/>
          <w:sz w:val="20"/>
          <w:szCs w:val="20"/>
          <w:lang w:val="en-GB"/>
        </w:rPr>
        <w:t>accommodation</w:t>
      </w:r>
      <w:r w:rsidR="00E05765" w:rsidRPr="001A7DCD">
        <w:rPr>
          <w:rStyle w:val="normaltextrun"/>
          <w:rFonts w:ascii="Arial" w:eastAsiaTheme="majorEastAsia" w:hAnsi="Arial" w:cs="Arial"/>
          <w:sz w:val="20"/>
          <w:szCs w:val="20"/>
          <w:lang w:val="en-GB"/>
        </w:rPr>
        <w:t>,</w:t>
      </w:r>
      <w:r w:rsidR="00720027" w:rsidRPr="001A7DCD">
        <w:rPr>
          <w:rStyle w:val="normaltextrun"/>
          <w:rFonts w:ascii="Arial" w:eastAsiaTheme="majorEastAsia" w:hAnsi="Arial" w:cs="Arial"/>
          <w:sz w:val="20"/>
          <w:szCs w:val="20"/>
          <w:lang w:val="en-GB"/>
        </w:rPr>
        <w:t xml:space="preserve"> </w:t>
      </w:r>
      <w:r w:rsidR="00DB2D42">
        <w:rPr>
          <w:rStyle w:val="normaltextrun"/>
          <w:rFonts w:ascii="Arial" w:eastAsiaTheme="majorEastAsia" w:hAnsi="Arial" w:cs="Arial"/>
          <w:sz w:val="20"/>
          <w:szCs w:val="20"/>
          <w:lang w:val="en-GB"/>
        </w:rPr>
        <w:t>and</w:t>
      </w:r>
      <w:r w:rsidR="00720027" w:rsidRPr="001A7DCD">
        <w:rPr>
          <w:rStyle w:val="normaltextrun"/>
          <w:rFonts w:ascii="Arial" w:eastAsiaTheme="majorEastAsia" w:hAnsi="Arial" w:cs="Arial"/>
          <w:sz w:val="20"/>
          <w:szCs w:val="20"/>
          <w:lang w:val="en-GB"/>
        </w:rPr>
        <w:t>/</w:t>
      </w:r>
      <w:r w:rsidR="00DB2D42">
        <w:rPr>
          <w:rStyle w:val="normaltextrun"/>
          <w:rFonts w:ascii="Arial" w:eastAsiaTheme="majorEastAsia" w:hAnsi="Arial" w:cs="Arial"/>
          <w:sz w:val="20"/>
          <w:szCs w:val="20"/>
          <w:lang w:val="en-GB"/>
        </w:rPr>
        <w:t>or</w:t>
      </w:r>
      <w:r w:rsidR="00720027" w:rsidRPr="001A7DCD">
        <w:rPr>
          <w:rStyle w:val="normaltextrun"/>
          <w:rFonts w:ascii="Arial" w:eastAsiaTheme="majorEastAsia" w:hAnsi="Arial" w:cs="Arial"/>
          <w:sz w:val="20"/>
          <w:szCs w:val="20"/>
          <w:lang w:val="en-GB"/>
        </w:rPr>
        <w:t xml:space="preserve"> </w:t>
      </w:r>
    </w:p>
    <w:p w14:paraId="219C7CF7" w14:textId="19A302D7" w:rsidR="40B4E15E" w:rsidRPr="001A7DCD" w:rsidRDefault="00364DF0" w:rsidP="00080163">
      <w:pPr>
        <w:pStyle w:val="paragraph"/>
        <w:numPr>
          <w:ilvl w:val="0"/>
          <w:numId w:val="38"/>
        </w:numPr>
        <w:spacing w:before="0" w:beforeAutospacing="0" w:after="0"/>
        <w:ind w:right="-30"/>
        <w:jc w:val="both"/>
        <w:textAlignment w:val="baseline"/>
        <w:rPr>
          <w:rStyle w:val="normaltextrun"/>
          <w:rFonts w:ascii="Arial" w:hAnsi="Arial" w:cs="Arial"/>
          <w:sz w:val="20"/>
          <w:szCs w:val="20"/>
          <w:shd w:val="clear" w:color="auto" w:fill="FFFFFF"/>
          <w:lang w:val="en-GB"/>
        </w:rPr>
      </w:pPr>
      <w:r>
        <w:rPr>
          <w:rStyle w:val="normaltextrun"/>
          <w:rFonts w:ascii="Arial" w:eastAsiaTheme="majorEastAsia" w:hAnsi="Arial" w:cs="Arial"/>
          <w:sz w:val="20"/>
          <w:szCs w:val="20"/>
          <w:lang w:val="en-GB"/>
        </w:rPr>
        <w:t xml:space="preserve">additional facilities </w:t>
      </w:r>
      <w:r w:rsidR="00DD4E44">
        <w:rPr>
          <w:rStyle w:val="normaltextrun"/>
          <w:rFonts w:ascii="Arial" w:eastAsiaTheme="majorEastAsia" w:hAnsi="Arial" w:cs="Arial"/>
          <w:sz w:val="20"/>
          <w:szCs w:val="20"/>
          <w:lang w:val="en-GB"/>
        </w:rPr>
        <w:t xml:space="preserve">of hospitality establishments for </w:t>
      </w:r>
      <w:r w:rsidR="00F777A9">
        <w:rPr>
          <w:rStyle w:val="normaltextrun"/>
          <w:rFonts w:ascii="Arial" w:eastAsiaTheme="majorEastAsia" w:hAnsi="Arial" w:cs="Arial"/>
          <w:sz w:val="20"/>
          <w:szCs w:val="20"/>
          <w:lang w:val="en-GB"/>
        </w:rPr>
        <w:t>accommodation</w:t>
      </w:r>
      <w:r w:rsidR="00E05765" w:rsidRPr="001A7DCD">
        <w:rPr>
          <w:rStyle w:val="normaltextrun"/>
          <w:rFonts w:ascii="Arial" w:eastAsiaTheme="majorEastAsia" w:hAnsi="Arial" w:cs="Arial"/>
          <w:sz w:val="20"/>
          <w:szCs w:val="20"/>
          <w:lang w:val="en-GB"/>
        </w:rPr>
        <w:t>,</w:t>
      </w:r>
    </w:p>
    <w:p w14:paraId="47FA952B" w14:textId="6449D7CF" w:rsidR="40B4E15E" w:rsidRPr="001A7DCD" w:rsidRDefault="00A238C1" w:rsidP="008F66D8">
      <w:pPr>
        <w:pStyle w:val="paragraph"/>
        <w:spacing w:before="0" w:beforeAutospacing="0" w:after="0"/>
        <w:ind w:left="360" w:right="-30" w:firstLine="60"/>
        <w:jc w:val="both"/>
        <w:textAlignment w:val="baseline"/>
        <w:rPr>
          <w:rFonts w:ascii="Arial" w:hAnsi="Arial" w:cs="Arial"/>
          <w:sz w:val="20"/>
          <w:szCs w:val="20"/>
          <w:shd w:val="clear" w:color="auto" w:fill="FFFFFF"/>
          <w:lang w:val="en-GB"/>
        </w:rPr>
      </w:pPr>
      <w:r>
        <w:rPr>
          <w:rStyle w:val="eop"/>
          <w:rFonts w:ascii="Arial" w:eastAsiaTheme="majorEastAsia" w:hAnsi="Arial" w:cs="Arial"/>
          <w:sz w:val="20"/>
          <w:szCs w:val="20"/>
          <w:lang w:val="en-GB"/>
        </w:rPr>
        <w:t>resulting either in the increase</w:t>
      </w:r>
      <w:r w:rsidR="00EE7A3A">
        <w:rPr>
          <w:rStyle w:val="eop"/>
          <w:rFonts w:ascii="Arial" w:eastAsiaTheme="majorEastAsia" w:hAnsi="Arial" w:cs="Arial"/>
          <w:sz w:val="20"/>
          <w:szCs w:val="20"/>
          <w:lang w:val="en-GB"/>
        </w:rPr>
        <w:t xml:space="preserve"> of accommodation facilities or introduction of additional, optional facilities </w:t>
      </w:r>
      <w:r w:rsidR="00E1394C">
        <w:rPr>
          <w:rStyle w:val="eop"/>
          <w:rFonts w:ascii="Arial" w:eastAsiaTheme="majorEastAsia" w:hAnsi="Arial" w:cs="Arial"/>
          <w:sz w:val="20"/>
          <w:szCs w:val="20"/>
          <w:lang w:val="en-GB"/>
        </w:rPr>
        <w:t>or classification into type and/or category</w:t>
      </w:r>
      <w:r w:rsidR="001C61BF" w:rsidRPr="001A7DCD">
        <w:rPr>
          <w:rStyle w:val="Referencafusnote"/>
          <w:rFonts w:ascii="Arial" w:hAnsi="Arial" w:cs="Arial"/>
          <w:sz w:val="20"/>
          <w:szCs w:val="20"/>
          <w:lang w:val="en-GB"/>
        </w:rPr>
        <w:footnoteReference w:id="2"/>
      </w:r>
      <w:r w:rsidR="001C61BF" w:rsidRPr="001A7DCD">
        <w:rPr>
          <w:rFonts w:ascii="Arial" w:hAnsi="Arial" w:cs="Arial"/>
          <w:sz w:val="20"/>
          <w:szCs w:val="20"/>
          <w:lang w:val="en-GB"/>
        </w:rPr>
        <w:t xml:space="preserve"> </w:t>
      </w:r>
      <w:r w:rsidR="00720027" w:rsidRPr="001A7DCD">
        <w:rPr>
          <w:rFonts w:ascii="Arial" w:hAnsi="Arial" w:cs="Arial"/>
          <w:sz w:val="20"/>
          <w:szCs w:val="20"/>
          <w:shd w:val="clear" w:color="auto" w:fill="FFFFFF"/>
          <w:lang w:val="en-GB"/>
        </w:rPr>
        <w:t>.</w:t>
      </w:r>
    </w:p>
    <w:p w14:paraId="71A58F8A" w14:textId="14566197" w:rsidR="00720027" w:rsidRPr="001A7DCD" w:rsidRDefault="00545F24" w:rsidP="000D1EAC">
      <w:pPr>
        <w:pStyle w:val="paragraph"/>
        <w:numPr>
          <w:ilvl w:val="0"/>
          <w:numId w:val="18"/>
        </w:numPr>
        <w:spacing w:before="0" w:beforeAutospacing="0" w:after="0" w:afterAutospacing="0"/>
        <w:jc w:val="both"/>
        <w:textAlignment w:val="baseline"/>
        <w:rPr>
          <w:rFonts w:ascii="Arial" w:hAnsi="Arial" w:cs="Arial"/>
          <w:sz w:val="20"/>
          <w:szCs w:val="20"/>
          <w:lang w:val="en-GB"/>
        </w:rPr>
      </w:pPr>
      <w:r>
        <w:rPr>
          <w:rStyle w:val="normaltextrun"/>
          <w:rFonts w:ascii="Arial" w:eastAsiaTheme="majorEastAsia" w:hAnsi="Arial" w:cs="Arial"/>
          <w:b/>
          <w:bCs/>
          <w:sz w:val="20"/>
          <w:szCs w:val="20"/>
          <w:lang w:val="en-GB"/>
        </w:rPr>
        <w:t xml:space="preserve">Investments in the following types of hospitality establishments for accommodation </w:t>
      </w:r>
      <w:r w:rsidR="00720027" w:rsidRPr="001A7DCD">
        <w:rPr>
          <w:rStyle w:val="normaltextrun"/>
          <w:rFonts w:ascii="Arial" w:eastAsiaTheme="majorEastAsia" w:hAnsi="Arial" w:cs="Arial"/>
          <w:b/>
          <w:bCs/>
          <w:sz w:val="20"/>
          <w:szCs w:val="20"/>
          <w:lang w:val="en-GB"/>
        </w:rPr>
        <w:t xml:space="preserve"> </w:t>
      </w:r>
      <w:r>
        <w:rPr>
          <w:rStyle w:val="normaltextrun"/>
          <w:rFonts w:ascii="Arial" w:eastAsiaTheme="majorEastAsia" w:hAnsi="Arial" w:cs="Arial"/>
          <w:b/>
          <w:bCs/>
          <w:sz w:val="20"/>
          <w:szCs w:val="20"/>
          <w:lang w:val="en-GB"/>
        </w:rPr>
        <w:t>from the</w:t>
      </w:r>
      <w:r w:rsidR="00720027" w:rsidRPr="001A7DCD">
        <w:rPr>
          <w:rStyle w:val="normaltextrun"/>
          <w:rFonts w:ascii="Arial" w:eastAsiaTheme="majorEastAsia" w:hAnsi="Arial" w:cs="Arial"/>
          <w:b/>
          <w:bCs/>
          <w:sz w:val="20"/>
          <w:szCs w:val="20"/>
          <w:lang w:val="en-GB"/>
        </w:rPr>
        <w:t xml:space="preserve"> </w:t>
      </w:r>
      <w:r w:rsidR="00B258EA">
        <w:rPr>
          <w:rStyle w:val="normaltextrun"/>
          <w:rFonts w:ascii="Arial" w:eastAsiaTheme="majorEastAsia" w:hAnsi="Arial" w:cs="Arial"/>
          <w:b/>
          <w:bCs/>
          <w:sz w:val="20"/>
          <w:szCs w:val="20"/>
          <w:lang w:val="en-GB"/>
        </w:rPr>
        <w:t>“</w:t>
      </w:r>
      <w:r w:rsidR="00720027" w:rsidRPr="001A7DCD">
        <w:rPr>
          <w:rStyle w:val="normaltextrun"/>
          <w:rFonts w:ascii="Arial" w:eastAsiaTheme="majorEastAsia" w:hAnsi="Arial" w:cs="Arial"/>
          <w:b/>
          <w:bCs/>
          <w:sz w:val="20"/>
          <w:szCs w:val="20"/>
          <w:lang w:val="en-GB"/>
        </w:rPr>
        <w:t>Hotel</w:t>
      </w:r>
      <w:r w:rsidR="002939C8">
        <w:rPr>
          <w:rStyle w:val="normaltextrun"/>
          <w:rFonts w:ascii="Arial" w:eastAsiaTheme="majorEastAsia" w:hAnsi="Arial" w:cs="Arial"/>
          <w:b/>
          <w:bCs/>
          <w:sz w:val="20"/>
          <w:szCs w:val="20"/>
          <w:lang w:val="en-GB"/>
        </w:rPr>
        <w:t>s</w:t>
      </w:r>
      <w:r w:rsidR="00720027" w:rsidRPr="001A7DCD">
        <w:rPr>
          <w:rStyle w:val="normaltextrun"/>
          <w:rFonts w:ascii="Arial" w:eastAsiaTheme="majorEastAsia" w:hAnsi="Arial" w:cs="Arial"/>
          <w:b/>
          <w:bCs/>
          <w:sz w:val="20"/>
          <w:szCs w:val="20"/>
          <w:lang w:val="en-GB"/>
        </w:rPr>
        <w:t>“</w:t>
      </w:r>
      <w:r w:rsidR="002939C8">
        <w:rPr>
          <w:rStyle w:val="normaltextrun"/>
          <w:rFonts w:ascii="Arial" w:eastAsiaTheme="majorEastAsia" w:hAnsi="Arial" w:cs="Arial"/>
          <w:b/>
          <w:bCs/>
          <w:sz w:val="20"/>
          <w:szCs w:val="20"/>
          <w:lang w:val="en-GB"/>
        </w:rPr>
        <w:t xml:space="preserve"> group</w:t>
      </w:r>
      <w:r w:rsidR="00720027" w:rsidRPr="001A7DCD">
        <w:rPr>
          <w:rStyle w:val="normaltextrun"/>
          <w:rFonts w:ascii="Arial" w:eastAsiaTheme="majorEastAsia" w:hAnsi="Arial" w:cs="Arial"/>
          <w:b/>
          <w:bCs/>
          <w:sz w:val="20"/>
          <w:szCs w:val="20"/>
          <w:lang w:val="en-GB"/>
        </w:rPr>
        <w:t xml:space="preserve"> </w:t>
      </w:r>
      <w:r w:rsidR="00720027" w:rsidRPr="001A7DCD">
        <w:rPr>
          <w:rStyle w:val="eop"/>
          <w:rFonts w:ascii="Arial" w:eastAsiaTheme="majorEastAsia" w:hAnsi="Arial" w:cs="Arial"/>
          <w:sz w:val="20"/>
          <w:szCs w:val="20"/>
          <w:lang w:val="en-GB"/>
        </w:rPr>
        <w:t> </w:t>
      </w:r>
    </w:p>
    <w:p w14:paraId="77808C0D" w14:textId="77777777" w:rsidR="00720027" w:rsidRPr="001A7DCD" w:rsidRDefault="00720027" w:rsidP="000D1EAC">
      <w:pPr>
        <w:pStyle w:val="paragraph"/>
        <w:spacing w:before="0" w:beforeAutospacing="0" w:after="0" w:afterAutospacing="0"/>
        <w:jc w:val="both"/>
        <w:textAlignment w:val="baseline"/>
        <w:rPr>
          <w:rFonts w:ascii="Arial" w:hAnsi="Arial" w:cs="Arial"/>
          <w:sz w:val="20"/>
          <w:szCs w:val="20"/>
          <w:lang w:val="en-GB"/>
        </w:rPr>
      </w:pPr>
      <w:r w:rsidRPr="001A7DCD">
        <w:rPr>
          <w:rStyle w:val="eop"/>
          <w:rFonts w:ascii="Arial" w:eastAsiaTheme="majorEastAsia" w:hAnsi="Arial" w:cs="Arial"/>
          <w:sz w:val="20"/>
          <w:szCs w:val="20"/>
          <w:lang w:val="en-GB"/>
        </w:rPr>
        <w:t> </w:t>
      </w:r>
    </w:p>
    <w:p w14:paraId="2C8BABAC" w14:textId="6F1C8F6A" w:rsidR="00893B10" w:rsidRPr="001A7DCD" w:rsidRDefault="00893B10" w:rsidP="000D1EAC">
      <w:pPr>
        <w:pStyle w:val="paragraph"/>
        <w:numPr>
          <w:ilvl w:val="0"/>
          <w:numId w:val="22"/>
        </w:numPr>
        <w:spacing w:before="0" w:beforeAutospacing="0" w:after="0" w:afterAutospacing="0"/>
        <w:jc w:val="both"/>
        <w:textAlignment w:val="baseline"/>
        <w:rPr>
          <w:rFonts w:ascii="Arial" w:hAnsi="Arial" w:cs="Arial"/>
          <w:sz w:val="20"/>
          <w:szCs w:val="20"/>
          <w:lang w:val="en-GB"/>
        </w:rPr>
      </w:pPr>
      <w:r w:rsidRPr="001A7DCD">
        <w:rPr>
          <w:rStyle w:val="normaltextrun"/>
          <w:rFonts w:ascii="Arial" w:eastAsiaTheme="majorEastAsia" w:hAnsi="Arial" w:cs="Arial"/>
          <w:sz w:val="20"/>
          <w:szCs w:val="20"/>
          <w:lang w:val="en-GB"/>
        </w:rPr>
        <w:t>Hotel, </w:t>
      </w:r>
    </w:p>
    <w:p w14:paraId="0545A999" w14:textId="6C495091" w:rsidR="00893B10" w:rsidRPr="001A7DCD" w:rsidRDefault="00893B10" w:rsidP="000D1EAC">
      <w:pPr>
        <w:pStyle w:val="paragraph"/>
        <w:numPr>
          <w:ilvl w:val="0"/>
          <w:numId w:val="22"/>
        </w:numPr>
        <w:spacing w:before="0" w:beforeAutospacing="0" w:after="0" w:afterAutospacing="0"/>
        <w:jc w:val="both"/>
        <w:textAlignment w:val="baseline"/>
        <w:rPr>
          <w:rFonts w:ascii="Arial" w:hAnsi="Arial" w:cs="Arial"/>
          <w:sz w:val="20"/>
          <w:szCs w:val="20"/>
          <w:lang w:val="en-GB"/>
        </w:rPr>
      </w:pPr>
      <w:r w:rsidRPr="001A7DCD">
        <w:rPr>
          <w:rStyle w:val="normaltextrun"/>
          <w:rFonts w:ascii="Arial" w:eastAsiaTheme="majorEastAsia" w:hAnsi="Arial" w:cs="Arial"/>
          <w:sz w:val="20"/>
          <w:szCs w:val="20"/>
          <w:lang w:val="en-GB"/>
        </w:rPr>
        <w:t>H</w:t>
      </w:r>
      <w:r w:rsidR="00A872D7">
        <w:rPr>
          <w:rStyle w:val="normaltextrun"/>
          <w:rFonts w:ascii="Arial" w:eastAsiaTheme="majorEastAsia" w:hAnsi="Arial" w:cs="Arial"/>
          <w:sz w:val="20"/>
          <w:szCs w:val="20"/>
          <w:lang w:val="en-GB"/>
        </w:rPr>
        <w:t>eritage ho</w:t>
      </w:r>
      <w:r w:rsidRPr="001A7DCD">
        <w:rPr>
          <w:rStyle w:val="normaltextrun"/>
          <w:rFonts w:ascii="Arial" w:eastAsiaTheme="majorEastAsia" w:hAnsi="Arial" w:cs="Arial"/>
          <w:sz w:val="20"/>
          <w:szCs w:val="20"/>
          <w:lang w:val="en-GB"/>
        </w:rPr>
        <w:t>tel,</w:t>
      </w:r>
    </w:p>
    <w:p w14:paraId="5C880A54" w14:textId="3494207D" w:rsidR="00893B10" w:rsidRPr="001A7DCD" w:rsidRDefault="00893B10" w:rsidP="000D1EAC">
      <w:pPr>
        <w:pStyle w:val="paragraph"/>
        <w:numPr>
          <w:ilvl w:val="0"/>
          <w:numId w:val="22"/>
        </w:numPr>
        <w:spacing w:before="0" w:beforeAutospacing="0" w:after="0" w:afterAutospacing="0"/>
        <w:jc w:val="both"/>
        <w:textAlignment w:val="baseline"/>
        <w:rPr>
          <w:rFonts w:ascii="Arial" w:hAnsi="Arial" w:cs="Arial"/>
          <w:sz w:val="20"/>
          <w:szCs w:val="20"/>
          <w:lang w:val="en-GB"/>
        </w:rPr>
      </w:pPr>
      <w:r w:rsidRPr="001A7DCD">
        <w:rPr>
          <w:rStyle w:val="normaltextrun"/>
          <w:rFonts w:ascii="Arial" w:eastAsiaTheme="majorEastAsia" w:hAnsi="Arial" w:cs="Arial"/>
          <w:sz w:val="20"/>
          <w:szCs w:val="20"/>
          <w:lang w:val="en-GB"/>
        </w:rPr>
        <w:t>Dif</w:t>
      </w:r>
      <w:r w:rsidR="00A872D7">
        <w:rPr>
          <w:rStyle w:val="normaltextrun"/>
          <w:rFonts w:ascii="Arial" w:eastAsiaTheme="majorEastAsia" w:hAnsi="Arial" w:cs="Arial"/>
          <w:sz w:val="20"/>
          <w:szCs w:val="20"/>
          <w:lang w:val="en-GB"/>
        </w:rPr>
        <w:t>fuse hotel</w:t>
      </w:r>
      <w:r w:rsidRPr="001A7DCD">
        <w:rPr>
          <w:rStyle w:val="normaltextrun"/>
          <w:rFonts w:ascii="Arial" w:eastAsiaTheme="majorEastAsia" w:hAnsi="Arial" w:cs="Arial"/>
          <w:sz w:val="20"/>
          <w:szCs w:val="20"/>
          <w:lang w:val="en-GB"/>
        </w:rPr>
        <w:t>, </w:t>
      </w:r>
    </w:p>
    <w:p w14:paraId="6A0117BF" w14:textId="03B5F3BA" w:rsidR="00893B10" w:rsidRPr="00B86EA8" w:rsidRDefault="00893B10" w:rsidP="000D1EAC">
      <w:pPr>
        <w:pStyle w:val="paragraph"/>
        <w:numPr>
          <w:ilvl w:val="0"/>
          <w:numId w:val="22"/>
        </w:numPr>
        <w:spacing w:before="0" w:beforeAutospacing="0" w:after="0" w:afterAutospacing="0"/>
        <w:jc w:val="both"/>
        <w:textAlignment w:val="baseline"/>
        <w:rPr>
          <w:rFonts w:ascii="Arial" w:hAnsi="Arial" w:cs="Arial"/>
          <w:sz w:val="20"/>
          <w:szCs w:val="20"/>
          <w:lang w:val="en-GB"/>
        </w:rPr>
      </w:pPr>
      <w:r w:rsidRPr="00B86EA8">
        <w:rPr>
          <w:rStyle w:val="normaltextrun"/>
          <w:rFonts w:ascii="Arial" w:eastAsiaTheme="majorEastAsia" w:hAnsi="Arial" w:cs="Arial"/>
          <w:sz w:val="20"/>
          <w:szCs w:val="20"/>
          <w:lang w:val="en-GB"/>
        </w:rPr>
        <w:t>Aparthotel, </w:t>
      </w:r>
    </w:p>
    <w:p w14:paraId="46F8F56B" w14:textId="7653DD0A" w:rsidR="00893B10" w:rsidRPr="00B86EA8" w:rsidRDefault="003E2B9B" w:rsidP="000D1EAC">
      <w:pPr>
        <w:pStyle w:val="paragraph"/>
        <w:numPr>
          <w:ilvl w:val="0"/>
          <w:numId w:val="22"/>
        </w:numPr>
        <w:spacing w:before="0" w:beforeAutospacing="0" w:after="0" w:afterAutospacing="0"/>
        <w:jc w:val="both"/>
        <w:textAlignment w:val="baseline"/>
        <w:rPr>
          <w:rFonts w:ascii="Arial" w:hAnsi="Arial" w:cs="Arial"/>
          <w:sz w:val="20"/>
          <w:szCs w:val="20"/>
          <w:lang w:val="en-GB"/>
        </w:rPr>
      </w:pPr>
      <w:r w:rsidRPr="00B86EA8">
        <w:rPr>
          <w:rStyle w:val="normaltextrun"/>
          <w:rFonts w:ascii="Arial" w:eastAsiaTheme="majorEastAsia" w:hAnsi="Arial" w:cs="Arial"/>
          <w:sz w:val="20"/>
          <w:szCs w:val="20"/>
          <w:lang w:val="en-GB"/>
        </w:rPr>
        <w:t>Tourist resort</w:t>
      </w:r>
      <w:r w:rsidR="00893B10" w:rsidRPr="00B86EA8">
        <w:rPr>
          <w:rStyle w:val="normaltextrun"/>
          <w:rFonts w:ascii="Arial" w:eastAsiaTheme="majorEastAsia" w:hAnsi="Arial" w:cs="Arial"/>
          <w:sz w:val="20"/>
          <w:szCs w:val="20"/>
          <w:lang w:val="en-GB"/>
        </w:rPr>
        <w:t>, </w:t>
      </w:r>
    </w:p>
    <w:p w14:paraId="74F4FB05" w14:textId="200718F3" w:rsidR="00F20BDC" w:rsidRPr="00B86EA8" w:rsidRDefault="00A21988" w:rsidP="000D1EAC">
      <w:pPr>
        <w:pStyle w:val="paragraph"/>
        <w:numPr>
          <w:ilvl w:val="0"/>
          <w:numId w:val="22"/>
        </w:numPr>
        <w:spacing w:before="0" w:beforeAutospacing="0" w:after="0" w:afterAutospacing="0"/>
        <w:jc w:val="both"/>
        <w:textAlignment w:val="baseline"/>
        <w:rPr>
          <w:rFonts w:ascii="Arial" w:hAnsi="Arial" w:cs="Arial"/>
          <w:sz w:val="20"/>
          <w:szCs w:val="20"/>
          <w:lang w:val="en-GB"/>
        </w:rPr>
      </w:pPr>
      <w:r w:rsidRPr="00B86EA8">
        <w:rPr>
          <w:rStyle w:val="normaltextrun"/>
          <w:rFonts w:ascii="Arial" w:eastAsiaTheme="majorEastAsia" w:hAnsi="Arial" w:cs="Arial"/>
          <w:sz w:val="20"/>
          <w:szCs w:val="20"/>
          <w:lang w:val="en-GB"/>
        </w:rPr>
        <w:t>Health resorts</w:t>
      </w:r>
      <w:r w:rsidR="00F20BDC" w:rsidRPr="00B86EA8">
        <w:rPr>
          <w:rStyle w:val="normaltextrun"/>
          <w:rFonts w:ascii="Arial" w:eastAsiaTheme="majorEastAsia" w:hAnsi="Arial" w:cs="Arial"/>
          <w:sz w:val="20"/>
          <w:szCs w:val="20"/>
          <w:lang w:val="en-GB"/>
        </w:rPr>
        <w:t xml:space="preserve">; </w:t>
      </w:r>
      <w:r w:rsidR="00132405" w:rsidRPr="00B86EA8">
        <w:rPr>
          <w:rStyle w:val="normaltextrun"/>
          <w:rFonts w:ascii="Arial" w:eastAsiaTheme="majorEastAsia" w:hAnsi="Arial" w:cs="Arial"/>
          <w:sz w:val="20"/>
          <w:szCs w:val="20"/>
          <w:lang w:val="en-GB"/>
        </w:rPr>
        <w:t>Health heritage hotel,</w:t>
      </w:r>
      <w:r w:rsidR="00A50371" w:rsidRPr="00B86EA8">
        <w:rPr>
          <w:rStyle w:val="normaltextrun"/>
          <w:rFonts w:ascii="Arial" w:eastAsiaTheme="majorEastAsia" w:hAnsi="Arial" w:cs="Arial"/>
          <w:sz w:val="20"/>
          <w:szCs w:val="20"/>
          <w:lang w:val="en-GB"/>
        </w:rPr>
        <w:t xml:space="preserve"> </w:t>
      </w:r>
      <w:r w:rsidR="002E2EA6" w:rsidRPr="00B86EA8">
        <w:rPr>
          <w:rStyle w:val="normaltextrun"/>
          <w:rFonts w:ascii="Arial" w:eastAsiaTheme="majorEastAsia" w:hAnsi="Arial" w:cs="Arial"/>
          <w:sz w:val="20"/>
          <w:szCs w:val="20"/>
          <w:lang w:val="en-GB"/>
        </w:rPr>
        <w:t>Health</w:t>
      </w:r>
      <w:r w:rsidR="00F20BDC" w:rsidRPr="00B86EA8">
        <w:rPr>
          <w:rStyle w:val="normaltextrun"/>
          <w:rFonts w:ascii="Arial" w:eastAsiaTheme="majorEastAsia" w:hAnsi="Arial" w:cs="Arial"/>
          <w:sz w:val="20"/>
          <w:szCs w:val="20"/>
          <w:lang w:val="en-GB"/>
        </w:rPr>
        <w:t xml:space="preserve"> hotel, </w:t>
      </w:r>
      <w:r w:rsidR="002E2EA6" w:rsidRPr="00B86EA8">
        <w:rPr>
          <w:rStyle w:val="normaltextrun"/>
          <w:rFonts w:ascii="Arial" w:eastAsiaTheme="majorEastAsia" w:hAnsi="Arial" w:cs="Arial"/>
          <w:sz w:val="20"/>
          <w:szCs w:val="20"/>
          <w:lang w:val="en-GB"/>
        </w:rPr>
        <w:t>Health</w:t>
      </w:r>
      <w:r w:rsidR="00F20BDC" w:rsidRPr="00B86EA8">
        <w:rPr>
          <w:rStyle w:val="normaltextrun"/>
          <w:rFonts w:ascii="Arial" w:eastAsiaTheme="majorEastAsia" w:hAnsi="Arial" w:cs="Arial"/>
          <w:sz w:val="20"/>
          <w:szCs w:val="20"/>
          <w:lang w:val="en-GB"/>
        </w:rPr>
        <w:t xml:space="preserve"> aparthotel, </w:t>
      </w:r>
      <w:r w:rsidR="002E2EA6" w:rsidRPr="00B86EA8">
        <w:rPr>
          <w:rStyle w:val="normaltextrun"/>
          <w:rFonts w:ascii="Arial" w:eastAsiaTheme="majorEastAsia" w:hAnsi="Arial" w:cs="Arial"/>
          <w:sz w:val="20"/>
          <w:szCs w:val="20"/>
          <w:lang w:val="en-GB"/>
        </w:rPr>
        <w:t>Health tourist resort</w:t>
      </w:r>
      <w:r w:rsidR="00F20BDC" w:rsidRPr="00B86EA8">
        <w:rPr>
          <w:rStyle w:val="normaltextrun"/>
          <w:rFonts w:ascii="Arial" w:eastAsiaTheme="majorEastAsia" w:hAnsi="Arial" w:cs="Arial"/>
          <w:sz w:val="20"/>
          <w:szCs w:val="20"/>
          <w:lang w:val="en-GB"/>
        </w:rPr>
        <w:t xml:space="preserve">, </w:t>
      </w:r>
      <w:r w:rsidR="00DF4E21" w:rsidRPr="00B86EA8">
        <w:rPr>
          <w:rStyle w:val="normaltextrun"/>
          <w:rFonts w:ascii="Arial" w:eastAsiaTheme="majorEastAsia" w:hAnsi="Arial" w:cs="Arial"/>
          <w:sz w:val="20"/>
          <w:szCs w:val="20"/>
          <w:lang w:val="en-GB"/>
        </w:rPr>
        <w:t>Health diffuse</w:t>
      </w:r>
      <w:r w:rsidR="00F20BDC" w:rsidRPr="00B86EA8">
        <w:rPr>
          <w:rStyle w:val="normaltextrun"/>
          <w:rFonts w:ascii="Arial" w:eastAsiaTheme="majorEastAsia" w:hAnsi="Arial" w:cs="Arial"/>
          <w:sz w:val="20"/>
          <w:szCs w:val="20"/>
          <w:lang w:val="en-GB"/>
        </w:rPr>
        <w:t xml:space="preserve"> hotel, </w:t>
      </w:r>
    </w:p>
    <w:p w14:paraId="11013DFB" w14:textId="0BBC2AAE" w:rsidR="00893B10" w:rsidRPr="001A7DCD" w:rsidRDefault="003C575E" w:rsidP="000D1EAC">
      <w:pPr>
        <w:pStyle w:val="paragraph"/>
        <w:numPr>
          <w:ilvl w:val="0"/>
          <w:numId w:val="22"/>
        </w:numPr>
        <w:spacing w:before="0" w:beforeAutospacing="0" w:after="0" w:afterAutospacing="0"/>
        <w:jc w:val="both"/>
        <w:textAlignment w:val="baseline"/>
        <w:rPr>
          <w:rFonts w:ascii="Arial" w:hAnsi="Arial" w:cs="Arial"/>
          <w:sz w:val="20"/>
          <w:szCs w:val="20"/>
          <w:lang w:val="en-GB"/>
        </w:rPr>
      </w:pPr>
      <w:r w:rsidRPr="00B86EA8">
        <w:rPr>
          <w:rStyle w:val="normaltextrun"/>
          <w:rFonts w:ascii="Arial" w:eastAsiaTheme="majorEastAsia" w:hAnsi="Arial" w:cs="Arial"/>
          <w:sz w:val="20"/>
          <w:szCs w:val="20"/>
          <w:lang w:val="en-GB"/>
        </w:rPr>
        <w:t>Special standard hotels</w:t>
      </w:r>
      <w:r w:rsidR="00F20BDC" w:rsidRPr="001A7DCD">
        <w:rPr>
          <w:rStyle w:val="normaltextrun"/>
          <w:rFonts w:ascii="Arial" w:eastAsiaTheme="majorEastAsia" w:hAnsi="Arial" w:cs="Arial"/>
          <w:sz w:val="20"/>
          <w:szCs w:val="20"/>
          <w:lang w:val="en-GB"/>
        </w:rPr>
        <w:t xml:space="preserve">; </w:t>
      </w:r>
      <w:r w:rsidR="00DF4E21">
        <w:rPr>
          <w:rStyle w:val="normaltextrun"/>
          <w:rFonts w:ascii="Arial" w:eastAsiaTheme="majorEastAsia" w:hAnsi="Arial" w:cs="Arial"/>
          <w:sz w:val="20"/>
          <w:szCs w:val="20"/>
          <w:lang w:val="en-GB"/>
        </w:rPr>
        <w:t>Business h</w:t>
      </w:r>
      <w:r w:rsidR="00F20BDC" w:rsidRPr="001A7DCD">
        <w:rPr>
          <w:rStyle w:val="normaltextrun"/>
          <w:rFonts w:ascii="Arial" w:eastAsiaTheme="majorEastAsia" w:hAnsi="Arial" w:cs="Arial"/>
          <w:sz w:val="20"/>
          <w:szCs w:val="20"/>
          <w:lang w:val="en-GB"/>
        </w:rPr>
        <w:t xml:space="preserve">otel, </w:t>
      </w:r>
      <w:r w:rsidR="00144A3B">
        <w:rPr>
          <w:rStyle w:val="normaltextrun"/>
          <w:rFonts w:ascii="Arial" w:eastAsiaTheme="majorEastAsia" w:hAnsi="Arial" w:cs="Arial"/>
          <w:sz w:val="20"/>
          <w:szCs w:val="20"/>
          <w:lang w:val="en-GB"/>
        </w:rPr>
        <w:t>Meeting hotel</w:t>
      </w:r>
      <w:r w:rsidR="00F20BDC" w:rsidRPr="001A7DCD">
        <w:rPr>
          <w:rStyle w:val="normaltextrun"/>
          <w:rFonts w:ascii="Arial" w:eastAsiaTheme="majorEastAsia" w:hAnsi="Arial" w:cs="Arial"/>
          <w:sz w:val="20"/>
          <w:szCs w:val="20"/>
          <w:lang w:val="en-GB"/>
        </w:rPr>
        <w:t xml:space="preserve">, </w:t>
      </w:r>
      <w:r w:rsidR="00945299">
        <w:rPr>
          <w:rStyle w:val="normaltextrun"/>
          <w:rFonts w:ascii="Arial" w:eastAsiaTheme="majorEastAsia" w:hAnsi="Arial" w:cs="Arial"/>
          <w:sz w:val="20"/>
          <w:szCs w:val="20"/>
          <w:lang w:val="en-GB"/>
        </w:rPr>
        <w:t>C</w:t>
      </w:r>
      <w:r w:rsidR="00F20BDC" w:rsidRPr="001A7DCD">
        <w:rPr>
          <w:rStyle w:val="normaltextrun"/>
          <w:rFonts w:ascii="Arial" w:eastAsiaTheme="majorEastAsia" w:hAnsi="Arial" w:cs="Arial"/>
          <w:sz w:val="20"/>
          <w:szCs w:val="20"/>
          <w:lang w:val="en-GB"/>
        </w:rPr>
        <w:t>ongress</w:t>
      </w:r>
      <w:r w:rsidR="00945299">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945299">
        <w:rPr>
          <w:rStyle w:val="normaltextrun"/>
          <w:rFonts w:ascii="Arial" w:eastAsiaTheme="majorEastAsia" w:hAnsi="Arial" w:cs="Arial"/>
          <w:sz w:val="20"/>
          <w:szCs w:val="20"/>
          <w:lang w:val="en-GB"/>
        </w:rPr>
        <w:t>C</w:t>
      </w:r>
      <w:r w:rsidR="00F20BDC" w:rsidRPr="001A7DCD">
        <w:rPr>
          <w:rStyle w:val="normaltextrun"/>
          <w:rFonts w:ascii="Arial" w:eastAsiaTheme="majorEastAsia" w:hAnsi="Arial" w:cs="Arial"/>
          <w:sz w:val="20"/>
          <w:szCs w:val="20"/>
          <w:lang w:val="en-GB"/>
        </w:rPr>
        <w:t>lub</w:t>
      </w:r>
      <w:r w:rsidR="00945299">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945299">
        <w:rPr>
          <w:rStyle w:val="normaltextrun"/>
          <w:rFonts w:ascii="Arial" w:eastAsiaTheme="majorEastAsia" w:hAnsi="Arial" w:cs="Arial"/>
          <w:sz w:val="20"/>
          <w:szCs w:val="20"/>
          <w:lang w:val="en-GB"/>
        </w:rPr>
        <w:t>H</w:t>
      </w:r>
      <w:r w:rsidR="00F20BDC" w:rsidRPr="001A7DCD">
        <w:rPr>
          <w:rStyle w:val="normaltextrun"/>
          <w:rFonts w:ascii="Arial" w:eastAsiaTheme="majorEastAsia" w:hAnsi="Arial" w:cs="Arial"/>
          <w:sz w:val="20"/>
          <w:szCs w:val="20"/>
          <w:lang w:val="en-GB"/>
        </w:rPr>
        <w:t>oliday resort</w:t>
      </w:r>
      <w:r w:rsidR="00945299">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10761F">
        <w:rPr>
          <w:rStyle w:val="normaltextrun"/>
          <w:rFonts w:ascii="Arial" w:eastAsiaTheme="majorEastAsia" w:hAnsi="Arial" w:cs="Arial"/>
          <w:sz w:val="20"/>
          <w:szCs w:val="20"/>
          <w:lang w:val="en-GB"/>
        </w:rPr>
        <w:t>C</w:t>
      </w:r>
      <w:r w:rsidR="00F20BDC" w:rsidRPr="001A7DCD">
        <w:rPr>
          <w:rStyle w:val="normaltextrun"/>
          <w:rFonts w:ascii="Arial" w:eastAsiaTheme="majorEastAsia" w:hAnsi="Arial" w:cs="Arial"/>
          <w:sz w:val="20"/>
          <w:szCs w:val="20"/>
          <w:lang w:val="en-GB"/>
        </w:rPr>
        <w:t>oastal holiday resort</w:t>
      </w:r>
      <w:r w:rsidR="00161A93">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161A93">
        <w:rPr>
          <w:rStyle w:val="normaltextrun"/>
          <w:rFonts w:ascii="Arial" w:eastAsiaTheme="majorEastAsia" w:hAnsi="Arial" w:cs="Arial"/>
          <w:sz w:val="20"/>
          <w:szCs w:val="20"/>
          <w:lang w:val="en-GB"/>
        </w:rPr>
        <w:t>F</w:t>
      </w:r>
      <w:r w:rsidR="00F20BDC" w:rsidRPr="001A7DCD">
        <w:rPr>
          <w:rStyle w:val="normaltextrun"/>
          <w:rFonts w:ascii="Arial" w:eastAsiaTheme="majorEastAsia" w:hAnsi="Arial" w:cs="Arial"/>
          <w:sz w:val="20"/>
          <w:szCs w:val="20"/>
          <w:lang w:val="en-GB"/>
        </w:rPr>
        <w:t>amily</w:t>
      </w:r>
      <w:r w:rsidR="00161A93">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161A93">
        <w:rPr>
          <w:rStyle w:val="normaltextrun"/>
          <w:rFonts w:ascii="Arial" w:eastAsiaTheme="majorEastAsia" w:hAnsi="Arial" w:cs="Arial"/>
          <w:sz w:val="20"/>
          <w:szCs w:val="20"/>
          <w:lang w:val="en-GB"/>
        </w:rPr>
        <w:t>S</w:t>
      </w:r>
      <w:r w:rsidR="00F20BDC" w:rsidRPr="001A7DCD">
        <w:rPr>
          <w:rStyle w:val="normaltextrun"/>
          <w:rFonts w:ascii="Arial" w:eastAsiaTheme="majorEastAsia" w:hAnsi="Arial" w:cs="Arial"/>
          <w:sz w:val="20"/>
          <w:szCs w:val="20"/>
          <w:lang w:val="en-GB"/>
        </w:rPr>
        <w:t>mall &amp; friendly</w:t>
      </w:r>
      <w:r w:rsidR="00734A59">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734A59">
        <w:rPr>
          <w:rStyle w:val="normaltextrun"/>
          <w:rFonts w:ascii="Arial" w:eastAsiaTheme="majorEastAsia" w:hAnsi="Arial" w:cs="Arial"/>
          <w:sz w:val="20"/>
          <w:szCs w:val="20"/>
          <w:lang w:val="en-GB"/>
        </w:rPr>
        <w:t>S</w:t>
      </w:r>
      <w:r w:rsidR="00F20BDC" w:rsidRPr="001A7DCD">
        <w:rPr>
          <w:rStyle w:val="normaltextrun"/>
          <w:rFonts w:ascii="Arial" w:eastAsiaTheme="majorEastAsia" w:hAnsi="Arial" w:cs="Arial"/>
          <w:sz w:val="20"/>
          <w:szCs w:val="20"/>
          <w:lang w:val="en-GB"/>
        </w:rPr>
        <w:t>enior citizen</w:t>
      </w:r>
      <w:r w:rsidR="00734A59">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484BE5">
        <w:rPr>
          <w:rStyle w:val="normaltextrun"/>
          <w:rFonts w:ascii="Arial" w:eastAsiaTheme="majorEastAsia" w:hAnsi="Arial" w:cs="Arial"/>
          <w:sz w:val="20"/>
          <w:szCs w:val="20"/>
          <w:lang w:val="en-GB"/>
        </w:rPr>
        <w:t>H</w:t>
      </w:r>
      <w:r w:rsidR="00F20BDC" w:rsidRPr="001A7DCD">
        <w:rPr>
          <w:rStyle w:val="normaltextrun"/>
          <w:rFonts w:ascii="Arial" w:eastAsiaTheme="majorEastAsia" w:hAnsi="Arial" w:cs="Arial"/>
          <w:sz w:val="20"/>
          <w:szCs w:val="20"/>
          <w:lang w:val="en-GB"/>
        </w:rPr>
        <w:t>ealth &amp; fitness</w:t>
      </w:r>
      <w:r w:rsidR="00484BE5">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484BE5">
        <w:rPr>
          <w:rStyle w:val="normaltextrun"/>
          <w:rFonts w:ascii="Arial" w:eastAsiaTheme="majorEastAsia" w:hAnsi="Arial" w:cs="Arial"/>
          <w:sz w:val="20"/>
          <w:szCs w:val="20"/>
          <w:lang w:val="en-GB"/>
        </w:rPr>
        <w:t>W</w:t>
      </w:r>
      <w:r w:rsidR="00F20BDC" w:rsidRPr="001A7DCD">
        <w:rPr>
          <w:rStyle w:val="normaltextrun"/>
          <w:rFonts w:ascii="Arial" w:eastAsiaTheme="majorEastAsia" w:hAnsi="Arial" w:cs="Arial"/>
          <w:sz w:val="20"/>
          <w:szCs w:val="20"/>
          <w:lang w:val="en-GB"/>
        </w:rPr>
        <w:t>ellness</w:t>
      </w:r>
      <w:r w:rsidR="00484BE5">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484BE5">
        <w:rPr>
          <w:rStyle w:val="normaltextrun"/>
          <w:rFonts w:ascii="Arial" w:eastAsiaTheme="majorEastAsia" w:hAnsi="Arial" w:cs="Arial"/>
          <w:sz w:val="20"/>
          <w:szCs w:val="20"/>
          <w:lang w:val="en-GB"/>
        </w:rPr>
        <w:t>D</w:t>
      </w:r>
      <w:r w:rsidR="00F20BDC" w:rsidRPr="001A7DCD">
        <w:rPr>
          <w:rStyle w:val="normaltextrun"/>
          <w:rFonts w:ascii="Arial" w:eastAsiaTheme="majorEastAsia" w:hAnsi="Arial" w:cs="Arial"/>
          <w:sz w:val="20"/>
          <w:szCs w:val="20"/>
          <w:lang w:val="en-GB"/>
        </w:rPr>
        <w:t>iving club</w:t>
      </w:r>
      <w:r w:rsidR="0055312C">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55312C">
        <w:rPr>
          <w:rStyle w:val="normaltextrun"/>
          <w:rFonts w:ascii="Arial" w:eastAsiaTheme="majorEastAsia" w:hAnsi="Arial" w:cs="Arial"/>
          <w:sz w:val="20"/>
          <w:szCs w:val="20"/>
          <w:lang w:val="en-GB"/>
        </w:rPr>
        <w:t>M</w:t>
      </w:r>
      <w:r w:rsidR="00F20BDC" w:rsidRPr="001A7DCD">
        <w:rPr>
          <w:rStyle w:val="normaltextrun"/>
          <w:rFonts w:ascii="Arial" w:eastAsiaTheme="majorEastAsia" w:hAnsi="Arial" w:cs="Arial"/>
          <w:sz w:val="20"/>
          <w:szCs w:val="20"/>
          <w:lang w:val="en-GB"/>
        </w:rPr>
        <w:t>otel</w:t>
      </w:r>
      <w:r w:rsidR="0055312C">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w:t>
      </w:r>
      <w:r w:rsidR="0055312C">
        <w:rPr>
          <w:rStyle w:val="normaltextrun"/>
          <w:rFonts w:ascii="Arial" w:eastAsiaTheme="majorEastAsia" w:hAnsi="Arial" w:cs="Arial"/>
          <w:sz w:val="20"/>
          <w:szCs w:val="20"/>
          <w:lang w:val="en-GB"/>
        </w:rPr>
        <w:t>S</w:t>
      </w:r>
      <w:r w:rsidR="00F20BDC" w:rsidRPr="001A7DCD">
        <w:rPr>
          <w:rStyle w:val="normaltextrun"/>
          <w:rFonts w:ascii="Arial" w:eastAsiaTheme="majorEastAsia" w:hAnsi="Arial" w:cs="Arial"/>
          <w:sz w:val="20"/>
          <w:szCs w:val="20"/>
          <w:lang w:val="en-GB"/>
        </w:rPr>
        <w:t>ki</w:t>
      </w:r>
      <w:r w:rsidR="0055312C">
        <w:rPr>
          <w:rStyle w:val="normaltextrun"/>
          <w:rFonts w:ascii="Arial" w:eastAsiaTheme="majorEastAsia" w:hAnsi="Arial" w:cs="Arial"/>
          <w:sz w:val="20"/>
          <w:szCs w:val="20"/>
          <w:lang w:val="en-GB"/>
        </w:rPr>
        <w:t xml:space="preserve"> hotel</w:t>
      </w:r>
      <w:r w:rsidR="00F20BDC" w:rsidRPr="001A7DCD">
        <w:rPr>
          <w:rStyle w:val="normaltextrun"/>
          <w:rFonts w:ascii="Arial" w:eastAsiaTheme="majorEastAsia" w:hAnsi="Arial" w:cs="Arial"/>
          <w:sz w:val="20"/>
          <w:szCs w:val="20"/>
          <w:lang w:val="en-GB"/>
        </w:rPr>
        <w:t xml:space="preserve">, Hotel </w:t>
      </w:r>
      <w:r w:rsidR="00B86EA8">
        <w:rPr>
          <w:rStyle w:val="normaltextrun"/>
          <w:rFonts w:ascii="Arial" w:eastAsiaTheme="majorEastAsia" w:hAnsi="Arial" w:cs="Arial"/>
          <w:sz w:val="20"/>
          <w:szCs w:val="20"/>
          <w:lang w:val="en-GB"/>
        </w:rPr>
        <w:t xml:space="preserve">accessible </w:t>
      </w:r>
      <w:r w:rsidR="00963AA7">
        <w:rPr>
          <w:rStyle w:val="normaltextrun"/>
          <w:rFonts w:ascii="Arial" w:eastAsiaTheme="majorEastAsia" w:hAnsi="Arial" w:cs="Arial"/>
          <w:sz w:val="20"/>
          <w:szCs w:val="20"/>
          <w:lang w:val="en-GB"/>
        </w:rPr>
        <w:t xml:space="preserve">for </w:t>
      </w:r>
      <w:r w:rsidR="00F34F84">
        <w:rPr>
          <w:rStyle w:val="normaltextrun"/>
          <w:rFonts w:ascii="Arial" w:eastAsiaTheme="majorEastAsia" w:hAnsi="Arial" w:cs="Arial"/>
          <w:sz w:val="20"/>
          <w:szCs w:val="20"/>
          <w:lang w:val="en-GB"/>
        </w:rPr>
        <w:t>people with disabilities and</w:t>
      </w:r>
      <w:r w:rsidR="00F20BDC" w:rsidRPr="001A7DCD">
        <w:rPr>
          <w:rStyle w:val="normaltextrun"/>
          <w:rFonts w:ascii="Arial" w:eastAsiaTheme="majorEastAsia" w:hAnsi="Arial" w:cs="Arial"/>
          <w:sz w:val="20"/>
          <w:szCs w:val="20"/>
          <w:lang w:val="en-GB"/>
        </w:rPr>
        <w:t xml:space="preserve"> </w:t>
      </w:r>
      <w:r w:rsidR="00B86EA8">
        <w:rPr>
          <w:rStyle w:val="normaltextrun"/>
          <w:rFonts w:ascii="Arial" w:eastAsiaTheme="majorEastAsia" w:hAnsi="Arial" w:cs="Arial"/>
          <w:sz w:val="20"/>
          <w:szCs w:val="20"/>
          <w:lang w:val="en-GB"/>
        </w:rPr>
        <w:t>Bike h</w:t>
      </w:r>
      <w:r w:rsidR="00F20BDC" w:rsidRPr="001A7DCD">
        <w:rPr>
          <w:rStyle w:val="normaltextrun"/>
          <w:rFonts w:ascii="Arial" w:eastAsiaTheme="majorEastAsia" w:hAnsi="Arial" w:cs="Arial"/>
          <w:sz w:val="20"/>
          <w:szCs w:val="20"/>
          <w:lang w:val="en-GB"/>
        </w:rPr>
        <w:t>otel. </w:t>
      </w:r>
      <w:r w:rsidR="00893B10" w:rsidRPr="001A7DCD">
        <w:rPr>
          <w:rStyle w:val="eop"/>
          <w:rFonts w:ascii="Arial" w:eastAsiaTheme="majorEastAsia" w:hAnsi="Arial" w:cs="Arial"/>
          <w:sz w:val="20"/>
          <w:szCs w:val="20"/>
          <w:lang w:val="en-GB"/>
        </w:rPr>
        <w:t> </w:t>
      </w:r>
    </w:p>
    <w:p w14:paraId="4F9F0419" w14:textId="39117D73" w:rsidR="00720027" w:rsidRPr="001A7DCD" w:rsidRDefault="00720027" w:rsidP="000D1EAC">
      <w:pPr>
        <w:pStyle w:val="paragraph"/>
        <w:spacing w:before="0" w:beforeAutospacing="0" w:after="0" w:afterAutospacing="0"/>
        <w:ind w:left="720"/>
        <w:jc w:val="both"/>
        <w:textAlignment w:val="baseline"/>
        <w:rPr>
          <w:rFonts w:ascii="Arial" w:hAnsi="Arial" w:cs="Arial"/>
          <w:sz w:val="20"/>
          <w:szCs w:val="20"/>
          <w:lang w:val="en-GB"/>
        </w:rPr>
      </w:pPr>
      <w:r w:rsidRPr="001A7DCD">
        <w:rPr>
          <w:rStyle w:val="normaltextrun"/>
          <w:rFonts w:ascii="Arial" w:eastAsiaTheme="majorEastAsia" w:hAnsi="Arial" w:cs="Arial"/>
          <w:sz w:val="20"/>
          <w:szCs w:val="20"/>
          <w:lang w:val="en-GB"/>
        </w:rPr>
        <w:t> </w:t>
      </w:r>
      <w:r w:rsidRPr="001A7DCD">
        <w:rPr>
          <w:rStyle w:val="eop"/>
          <w:rFonts w:ascii="Arial" w:eastAsiaTheme="majorEastAsia" w:hAnsi="Arial" w:cs="Arial"/>
          <w:sz w:val="20"/>
          <w:szCs w:val="20"/>
          <w:lang w:val="en-GB"/>
        </w:rPr>
        <w:t> </w:t>
      </w:r>
    </w:p>
    <w:p w14:paraId="6612902E" w14:textId="7E29C706" w:rsidR="000C5923" w:rsidRPr="001A7DCD" w:rsidRDefault="000C5923" w:rsidP="3030AAA9">
      <w:pPr>
        <w:pStyle w:val="paragraph"/>
        <w:spacing w:before="0" w:beforeAutospacing="0" w:after="0" w:afterAutospacing="0"/>
        <w:ind w:left="-30" w:right="-30"/>
        <w:jc w:val="both"/>
        <w:textAlignment w:val="baseline"/>
        <w:rPr>
          <w:rStyle w:val="eop"/>
          <w:rFonts w:ascii="Arial" w:eastAsiaTheme="majorEastAsia" w:hAnsi="Arial" w:cs="Arial"/>
          <w:sz w:val="20"/>
          <w:szCs w:val="20"/>
          <w:lang w:val="en-GB"/>
        </w:rPr>
      </w:pPr>
    </w:p>
    <w:p w14:paraId="1F5EC545" w14:textId="77777777" w:rsidR="00E909A0" w:rsidRPr="001A7DCD" w:rsidRDefault="00E909A0" w:rsidP="3030AAA9">
      <w:pPr>
        <w:pStyle w:val="paragraph"/>
        <w:spacing w:before="0" w:beforeAutospacing="0" w:after="0" w:afterAutospacing="0"/>
        <w:ind w:left="-30" w:right="-30"/>
        <w:jc w:val="both"/>
        <w:textAlignment w:val="baseline"/>
        <w:rPr>
          <w:rFonts w:ascii="Arial" w:hAnsi="Arial" w:cs="Arial"/>
          <w:sz w:val="20"/>
          <w:szCs w:val="20"/>
          <w:lang w:val="en-GB"/>
        </w:rPr>
      </w:pPr>
    </w:p>
    <w:p w14:paraId="495D2245" w14:textId="0E7E7F93" w:rsidR="000C5923" w:rsidRPr="001A7DCD" w:rsidRDefault="003822AC" w:rsidP="3030AAA9">
      <w:pPr>
        <w:pStyle w:val="paragraph"/>
        <w:spacing w:before="0" w:beforeAutospacing="0" w:after="0" w:afterAutospacing="0"/>
        <w:ind w:left="-30" w:right="-30"/>
        <w:jc w:val="both"/>
        <w:textAlignment w:val="baseline"/>
        <w:rPr>
          <w:rFonts w:ascii="Arial" w:hAnsi="Arial" w:cs="Arial"/>
          <w:sz w:val="20"/>
          <w:szCs w:val="20"/>
          <w:lang w:val="en-GB"/>
        </w:rPr>
      </w:pPr>
      <w:r>
        <w:rPr>
          <w:rFonts w:ascii="Arial" w:hAnsi="Arial" w:cs="Arial"/>
          <w:sz w:val="20"/>
          <w:szCs w:val="20"/>
          <w:lang w:val="en-GB"/>
        </w:rPr>
        <w:t xml:space="preserve">The result of investment in </w:t>
      </w:r>
      <w:r w:rsidR="00192BD3">
        <w:rPr>
          <w:rFonts w:ascii="Arial" w:hAnsi="Arial" w:cs="Arial"/>
          <w:sz w:val="20"/>
          <w:szCs w:val="20"/>
          <w:lang w:val="en-GB"/>
        </w:rPr>
        <w:t>hospitality establishments for accommodation from the</w:t>
      </w:r>
      <w:r w:rsidR="5105E87E" w:rsidRPr="001A7DCD">
        <w:rPr>
          <w:rFonts w:ascii="Arial" w:hAnsi="Arial" w:cs="Arial"/>
          <w:sz w:val="20"/>
          <w:szCs w:val="20"/>
          <w:lang w:val="en-GB"/>
        </w:rPr>
        <w:t xml:space="preserve"> “Hotel</w:t>
      </w:r>
      <w:r w:rsidR="00192BD3">
        <w:rPr>
          <w:rFonts w:ascii="Arial" w:hAnsi="Arial" w:cs="Arial"/>
          <w:sz w:val="20"/>
          <w:szCs w:val="20"/>
          <w:lang w:val="en-GB"/>
        </w:rPr>
        <w:t>s</w:t>
      </w:r>
      <w:r w:rsidR="5105E87E" w:rsidRPr="001A7DCD">
        <w:rPr>
          <w:rFonts w:ascii="Arial" w:hAnsi="Arial" w:cs="Arial"/>
          <w:sz w:val="20"/>
          <w:szCs w:val="20"/>
          <w:lang w:val="en-GB"/>
        </w:rPr>
        <w:t>”</w:t>
      </w:r>
      <w:r w:rsidR="00192BD3">
        <w:rPr>
          <w:rFonts w:ascii="Arial" w:hAnsi="Arial" w:cs="Arial"/>
          <w:sz w:val="20"/>
          <w:szCs w:val="20"/>
          <w:lang w:val="en-GB"/>
        </w:rPr>
        <w:t xml:space="preserve"> group</w:t>
      </w:r>
      <w:r w:rsidR="5105E87E" w:rsidRPr="001A7DCD">
        <w:rPr>
          <w:rFonts w:ascii="Arial" w:hAnsi="Arial" w:cs="Arial"/>
          <w:sz w:val="20"/>
          <w:szCs w:val="20"/>
          <w:lang w:val="en-GB"/>
        </w:rPr>
        <w:t>:</w:t>
      </w:r>
    </w:p>
    <w:p w14:paraId="1C6C680C" w14:textId="5AD9A728" w:rsidR="000C5923" w:rsidRPr="001A7DCD" w:rsidRDefault="00AE096C" w:rsidP="00087C7B">
      <w:pPr>
        <w:pStyle w:val="paragraph"/>
        <w:numPr>
          <w:ilvl w:val="1"/>
          <w:numId w:val="1"/>
        </w:numPr>
        <w:spacing w:before="0" w:beforeAutospacing="0" w:after="0" w:afterAutospacing="0"/>
        <w:ind w:right="-30"/>
        <w:jc w:val="both"/>
        <w:rPr>
          <w:rFonts w:ascii="Arial" w:hAnsi="Arial" w:cs="Arial"/>
          <w:sz w:val="20"/>
          <w:szCs w:val="20"/>
          <w:lang w:val="en-GB"/>
        </w:rPr>
      </w:pPr>
      <w:r>
        <w:rPr>
          <w:rFonts w:ascii="Arial" w:hAnsi="Arial" w:cs="Arial"/>
          <w:sz w:val="20"/>
          <w:szCs w:val="20"/>
          <w:lang w:val="en-GB"/>
        </w:rPr>
        <w:t>In TDI</w:t>
      </w:r>
      <w:r w:rsidR="000C5923" w:rsidRPr="001A7DCD">
        <w:rPr>
          <w:rFonts w:ascii="Arial" w:hAnsi="Arial" w:cs="Arial"/>
          <w:sz w:val="20"/>
          <w:szCs w:val="20"/>
          <w:lang w:val="en-GB"/>
        </w:rPr>
        <w:t xml:space="preserve"> 1</w:t>
      </w:r>
      <w:r w:rsidR="00087C7B" w:rsidRPr="001A7DCD">
        <w:rPr>
          <w:rStyle w:val="Referencafusnote"/>
          <w:rFonts w:ascii="Arial" w:hAnsi="Arial" w:cs="Arial"/>
          <w:sz w:val="20"/>
          <w:szCs w:val="20"/>
          <w:lang w:val="en-GB"/>
        </w:rPr>
        <w:footnoteReference w:id="3"/>
      </w:r>
      <w:r w:rsidR="00087C7B" w:rsidRPr="001A7DCD">
        <w:rPr>
          <w:rFonts w:ascii="Arial" w:hAnsi="Arial" w:cs="Arial"/>
          <w:sz w:val="20"/>
          <w:szCs w:val="20"/>
          <w:lang w:val="en-GB"/>
        </w:rPr>
        <w:t xml:space="preserve"> </w:t>
      </w:r>
      <w:r>
        <w:rPr>
          <w:rFonts w:ascii="Arial" w:hAnsi="Arial" w:cs="Arial"/>
          <w:sz w:val="20"/>
          <w:szCs w:val="20"/>
          <w:lang w:val="en-GB"/>
        </w:rPr>
        <w:t xml:space="preserve">category </w:t>
      </w:r>
      <w:r w:rsidR="00307457">
        <w:rPr>
          <w:rFonts w:ascii="Arial" w:hAnsi="Arial" w:cs="Arial"/>
          <w:sz w:val="20"/>
          <w:szCs w:val="20"/>
          <w:lang w:val="en-GB"/>
        </w:rPr>
        <w:t>must not result in the increase of accommodation capacities</w:t>
      </w:r>
      <w:r w:rsidR="000C5923" w:rsidRPr="001A7DCD">
        <w:rPr>
          <w:rStyle w:val="Referencafusnote"/>
          <w:rFonts w:ascii="Arial" w:eastAsiaTheme="majorEastAsia" w:hAnsi="Arial" w:cs="Arial"/>
          <w:sz w:val="20"/>
          <w:szCs w:val="20"/>
          <w:shd w:val="clear" w:color="auto" w:fill="FFFFFF" w:themeFill="background1"/>
          <w:lang w:val="en-GB"/>
        </w:rPr>
        <w:footnoteReference w:id="4"/>
      </w:r>
      <w:r w:rsidR="000C5923" w:rsidRPr="001A7DCD">
        <w:rPr>
          <w:rFonts w:ascii="Arial" w:hAnsi="Arial" w:cs="Arial"/>
          <w:sz w:val="20"/>
          <w:szCs w:val="20"/>
          <w:lang w:val="en-GB"/>
        </w:rPr>
        <w:t xml:space="preserve">. </w:t>
      </w:r>
    </w:p>
    <w:p w14:paraId="5A0673E7" w14:textId="22611253" w:rsidR="460E4C53" w:rsidRPr="001A7DCD" w:rsidRDefault="005E2C2B" w:rsidP="0005756C">
      <w:pPr>
        <w:pStyle w:val="paragraph"/>
        <w:numPr>
          <w:ilvl w:val="0"/>
          <w:numId w:val="1"/>
        </w:numPr>
        <w:spacing w:before="0" w:beforeAutospacing="0" w:after="0" w:afterAutospacing="0"/>
        <w:ind w:right="-30"/>
        <w:jc w:val="both"/>
        <w:rPr>
          <w:rFonts w:ascii="Arial" w:hAnsi="Arial" w:cs="Arial"/>
          <w:sz w:val="20"/>
          <w:szCs w:val="20"/>
          <w:lang w:val="en-GB"/>
        </w:rPr>
      </w:pPr>
      <w:r>
        <w:rPr>
          <w:rFonts w:ascii="Arial" w:hAnsi="Arial" w:cs="Arial"/>
          <w:sz w:val="20"/>
          <w:szCs w:val="20"/>
          <w:lang w:val="en-GB"/>
        </w:rPr>
        <w:t>If classified in categories</w:t>
      </w:r>
      <w:r w:rsidR="00CF5B2F">
        <w:rPr>
          <w:rFonts w:ascii="Arial" w:hAnsi="Arial" w:cs="Arial"/>
          <w:sz w:val="20"/>
          <w:szCs w:val="20"/>
          <w:lang w:val="en-GB"/>
        </w:rPr>
        <w:t xml:space="preserve">, </w:t>
      </w:r>
      <w:r w:rsidR="0019778A">
        <w:rPr>
          <w:rFonts w:ascii="Arial" w:hAnsi="Arial" w:cs="Arial"/>
          <w:sz w:val="20"/>
          <w:szCs w:val="20"/>
          <w:lang w:val="en-GB"/>
        </w:rPr>
        <w:t>it</w:t>
      </w:r>
      <w:r w:rsidR="00CF5B2F">
        <w:rPr>
          <w:rFonts w:ascii="Arial" w:hAnsi="Arial" w:cs="Arial"/>
          <w:sz w:val="20"/>
          <w:szCs w:val="20"/>
          <w:lang w:val="en-GB"/>
        </w:rPr>
        <w:t xml:space="preserve"> must</w:t>
      </w:r>
      <w:r w:rsidR="001D3CDE">
        <w:rPr>
          <w:rFonts w:ascii="Arial" w:hAnsi="Arial" w:cs="Arial"/>
          <w:sz w:val="20"/>
          <w:szCs w:val="20"/>
          <w:lang w:val="en-GB"/>
        </w:rPr>
        <w:t xml:space="preserve"> be at least</w:t>
      </w:r>
      <w:r w:rsidR="460E4C53" w:rsidRPr="001A7DCD">
        <w:rPr>
          <w:rFonts w:ascii="Arial" w:hAnsi="Arial" w:cs="Arial"/>
          <w:sz w:val="20"/>
          <w:szCs w:val="20"/>
          <w:lang w:val="en-GB"/>
        </w:rPr>
        <w:t>:</w:t>
      </w:r>
    </w:p>
    <w:p w14:paraId="0DDBAFB3" w14:textId="5AE4ADDE" w:rsidR="460E4C53" w:rsidRPr="0025121C" w:rsidRDefault="460E4C53" w:rsidP="008F66D8">
      <w:pPr>
        <w:pStyle w:val="paragraph"/>
        <w:numPr>
          <w:ilvl w:val="1"/>
          <w:numId w:val="1"/>
        </w:numPr>
        <w:spacing w:before="0" w:beforeAutospacing="0" w:after="0" w:afterAutospacing="0"/>
        <w:ind w:right="-30"/>
        <w:jc w:val="both"/>
        <w:rPr>
          <w:rFonts w:ascii="Arial" w:hAnsi="Arial" w:cs="Arial"/>
          <w:sz w:val="20"/>
          <w:szCs w:val="20"/>
          <w:lang w:val="en-GB"/>
        </w:rPr>
      </w:pPr>
      <w:r w:rsidRPr="0025121C">
        <w:rPr>
          <w:rFonts w:ascii="Arial" w:hAnsi="Arial" w:cs="Arial"/>
          <w:sz w:val="20"/>
          <w:szCs w:val="20"/>
          <w:lang w:val="en-GB"/>
        </w:rPr>
        <w:t>4</w:t>
      </w:r>
      <w:r w:rsidR="001D3CDE" w:rsidRPr="0025121C">
        <w:rPr>
          <w:rFonts w:ascii="Arial" w:hAnsi="Arial" w:cs="Arial"/>
          <w:sz w:val="20"/>
          <w:szCs w:val="20"/>
          <w:lang w:val="en-GB"/>
        </w:rPr>
        <w:t xml:space="preserve">-star </w:t>
      </w:r>
      <w:r w:rsidR="00727353" w:rsidRPr="0025121C">
        <w:rPr>
          <w:rFonts w:ascii="Arial" w:hAnsi="Arial" w:cs="Arial"/>
          <w:sz w:val="20"/>
          <w:szCs w:val="20"/>
          <w:lang w:val="en-GB"/>
        </w:rPr>
        <w:t xml:space="preserve">for </w:t>
      </w:r>
      <w:r w:rsidR="001D3CDE" w:rsidRPr="0025121C">
        <w:rPr>
          <w:rFonts w:ascii="Arial" w:hAnsi="Arial" w:cs="Arial"/>
          <w:sz w:val="20"/>
          <w:szCs w:val="20"/>
          <w:lang w:val="en-GB"/>
        </w:rPr>
        <w:t>TDI</w:t>
      </w:r>
      <w:r w:rsidR="00A005E2" w:rsidRPr="0025121C">
        <w:rPr>
          <w:rFonts w:ascii="Arial" w:hAnsi="Arial" w:cs="Arial"/>
          <w:sz w:val="20"/>
          <w:szCs w:val="20"/>
          <w:lang w:val="en-GB"/>
        </w:rPr>
        <w:t xml:space="preserve"> 1</w:t>
      </w:r>
    </w:p>
    <w:p w14:paraId="4AF912F7" w14:textId="034D9E39" w:rsidR="460E4C53" w:rsidRPr="001A7DCD" w:rsidRDefault="460E4C53" w:rsidP="008F66D8">
      <w:pPr>
        <w:pStyle w:val="paragraph"/>
        <w:numPr>
          <w:ilvl w:val="1"/>
          <w:numId w:val="1"/>
        </w:numPr>
        <w:spacing w:before="0" w:beforeAutospacing="0" w:after="0" w:afterAutospacing="0"/>
        <w:ind w:right="-30"/>
        <w:jc w:val="both"/>
        <w:rPr>
          <w:rFonts w:ascii="Arial" w:hAnsi="Arial" w:cs="Arial"/>
          <w:sz w:val="20"/>
          <w:szCs w:val="20"/>
          <w:lang w:val="en-GB"/>
        </w:rPr>
      </w:pPr>
      <w:r w:rsidRPr="0025121C">
        <w:rPr>
          <w:rFonts w:ascii="Arial" w:hAnsi="Arial" w:cs="Arial"/>
          <w:sz w:val="20"/>
          <w:szCs w:val="20"/>
          <w:lang w:val="en-GB"/>
        </w:rPr>
        <w:t>3</w:t>
      </w:r>
      <w:r w:rsidR="00E66080" w:rsidRPr="0025121C">
        <w:rPr>
          <w:rFonts w:ascii="Arial" w:hAnsi="Arial" w:cs="Arial"/>
          <w:sz w:val="20"/>
          <w:szCs w:val="20"/>
          <w:lang w:val="en-GB"/>
        </w:rPr>
        <w:t xml:space="preserve">-star </w:t>
      </w:r>
      <w:r w:rsidR="00E66080">
        <w:rPr>
          <w:rFonts w:ascii="Arial" w:hAnsi="Arial" w:cs="Arial"/>
          <w:sz w:val="20"/>
          <w:szCs w:val="20"/>
          <w:lang w:val="en-GB"/>
        </w:rPr>
        <w:t xml:space="preserve">for TDI </w:t>
      </w:r>
      <w:r w:rsidRPr="001A7DCD">
        <w:rPr>
          <w:rFonts w:ascii="Arial" w:hAnsi="Arial" w:cs="Arial"/>
          <w:sz w:val="20"/>
          <w:szCs w:val="20"/>
          <w:lang w:val="en-GB"/>
        </w:rPr>
        <w:t>0,</w:t>
      </w:r>
      <w:r w:rsidR="008F48EB" w:rsidRPr="001A7DCD">
        <w:rPr>
          <w:rFonts w:ascii="Arial" w:hAnsi="Arial" w:cs="Arial"/>
          <w:sz w:val="20"/>
          <w:szCs w:val="20"/>
          <w:lang w:val="en-GB"/>
        </w:rPr>
        <w:t xml:space="preserve"> </w:t>
      </w:r>
      <w:r w:rsidRPr="001A7DCD">
        <w:rPr>
          <w:rFonts w:ascii="Arial" w:hAnsi="Arial" w:cs="Arial"/>
          <w:sz w:val="20"/>
          <w:szCs w:val="20"/>
          <w:lang w:val="en-GB"/>
        </w:rPr>
        <w:t>2,</w:t>
      </w:r>
      <w:r w:rsidR="008F48EB" w:rsidRPr="001A7DCD">
        <w:rPr>
          <w:rFonts w:ascii="Arial" w:hAnsi="Arial" w:cs="Arial"/>
          <w:sz w:val="20"/>
          <w:szCs w:val="20"/>
          <w:lang w:val="en-GB"/>
        </w:rPr>
        <w:t xml:space="preserve"> </w:t>
      </w:r>
      <w:r w:rsidRPr="001A7DCD">
        <w:rPr>
          <w:rFonts w:ascii="Arial" w:hAnsi="Arial" w:cs="Arial"/>
          <w:sz w:val="20"/>
          <w:szCs w:val="20"/>
          <w:lang w:val="en-GB"/>
        </w:rPr>
        <w:t>3,</w:t>
      </w:r>
      <w:r w:rsidR="008F48EB" w:rsidRPr="001A7DCD">
        <w:rPr>
          <w:rFonts w:ascii="Arial" w:hAnsi="Arial" w:cs="Arial"/>
          <w:sz w:val="20"/>
          <w:szCs w:val="20"/>
          <w:lang w:val="en-GB"/>
        </w:rPr>
        <w:t xml:space="preserve"> </w:t>
      </w:r>
      <w:r w:rsidRPr="001A7DCD">
        <w:rPr>
          <w:rFonts w:ascii="Arial" w:hAnsi="Arial" w:cs="Arial"/>
          <w:sz w:val="20"/>
          <w:szCs w:val="20"/>
          <w:lang w:val="en-GB"/>
        </w:rPr>
        <w:t>4</w:t>
      </w:r>
    </w:p>
    <w:p w14:paraId="4CE327EA" w14:textId="77777777" w:rsidR="00720027" w:rsidRPr="001A7DCD" w:rsidRDefault="00720027" w:rsidP="000D1EAC">
      <w:pPr>
        <w:pStyle w:val="paragraph"/>
        <w:tabs>
          <w:tab w:val="left" w:pos="1504"/>
        </w:tabs>
        <w:spacing w:before="0" w:beforeAutospacing="0" w:after="0" w:afterAutospacing="0"/>
        <w:jc w:val="both"/>
        <w:textAlignment w:val="baseline"/>
        <w:rPr>
          <w:rStyle w:val="eop"/>
          <w:rFonts w:ascii="Arial" w:eastAsiaTheme="majorEastAsia" w:hAnsi="Arial" w:cs="Arial"/>
          <w:sz w:val="20"/>
          <w:szCs w:val="20"/>
          <w:lang w:val="en-GB"/>
        </w:rPr>
      </w:pPr>
      <w:r w:rsidRPr="001A7DCD">
        <w:rPr>
          <w:rStyle w:val="eop"/>
          <w:rFonts w:ascii="Arial" w:eastAsiaTheme="majorEastAsia" w:hAnsi="Arial" w:cs="Arial"/>
          <w:sz w:val="20"/>
          <w:szCs w:val="20"/>
          <w:lang w:val="en-GB"/>
        </w:rPr>
        <w:t> </w:t>
      </w:r>
      <w:r w:rsidRPr="001A7DCD">
        <w:rPr>
          <w:rStyle w:val="eop"/>
          <w:rFonts w:ascii="Arial" w:eastAsiaTheme="majorEastAsia" w:hAnsi="Arial" w:cs="Arial"/>
          <w:sz w:val="20"/>
          <w:szCs w:val="20"/>
          <w:lang w:val="en-GB"/>
        </w:rPr>
        <w:tab/>
      </w:r>
    </w:p>
    <w:p w14:paraId="417F1938" w14:textId="77777777" w:rsidR="00720027" w:rsidRPr="001A7DCD" w:rsidRDefault="00720027" w:rsidP="000D1EAC">
      <w:pPr>
        <w:pStyle w:val="paragraph"/>
        <w:tabs>
          <w:tab w:val="left" w:pos="1504"/>
        </w:tabs>
        <w:spacing w:before="0" w:beforeAutospacing="0" w:after="0" w:afterAutospacing="0"/>
        <w:textAlignment w:val="baseline"/>
        <w:rPr>
          <w:rFonts w:ascii="Arial" w:hAnsi="Arial" w:cs="Arial"/>
          <w:sz w:val="20"/>
          <w:szCs w:val="20"/>
          <w:lang w:val="en-GB"/>
        </w:rPr>
      </w:pPr>
    </w:p>
    <w:p w14:paraId="43F751AF" w14:textId="3E655A83" w:rsidR="00720027" w:rsidRPr="001A7DCD" w:rsidRDefault="00E66080" w:rsidP="000D1EAC">
      <w:pPr>
        <w:pStyle w:val="paragraph"/>
        <w:numPr>
          <w:ilvl w:val="0"/>
          <w:numId w:val="18"/>
        </w:numPr>
        <w:spacing w:before="0" w:beforeAutospacing="0" w:after="0" w:afterAutospacing="0"/>
        <w:textAlignment w:val="baseline"/>
        <w:rPr>
          <w:rFonts w:ascii="Arial" w:hAnsi="Arial" w:cs="Arial"/>
          <w:sz w:val="20"/>
          <w:szCs w:val="20"/>
          <w:lang w:val="en-GB"/>
        </w:rPr>
      </w:pPr>
      <w:r>
        <w:rPr>
          <w:rStyle w:val="normaltextrun"/>
          <w:rFonts w:ascii="Arial" w:eastAsiaTheme="majorEastAsia" w:hAnsi="Arial" w:cs="Arial"/>
          <w:b/>
          <w:bCs/>
          <w:sz w:val="20"/>
          <w:szCs w:val="20"/>
          <w:lang w:val="en-GB"/>
        </w:rPr>
        <w:t xml:space="preserve">Investments in </w:t>
      </w:r>
      <w:r w:rsidR="000F406F">
        <w:rPr>
          <w:rStyle w:val="normaltextrun"/>
          <w:rFonts w:ascii="Arial" w:eastAsiaTheme="majorEastAsia" w:hAnsi="Arial" w:cs="Arial"/>
          <w:b/>
          <w:bCs/>
          <w:sz w:val="20"/>
          <w:szCs w:val="20"/>
          <w:lang w:val="en-GB"/>
        </w:rPr>
        <w:t>hospitality establishments for accommodation</w:t>
      </w:r>
      <w:r w:rsidR="00127C97">
        <w:rPr>
          <w:rStyle w:val="normaltextrun"/>
          <w:rFonts w:ascii="Arial" w:eastAsiaTheme="majorEastAsia" w:hAnsi="Arial" w:cs="Arial"/>
          <w:b/>
          <w:bCs/>
          <w:sz w:val="20"/>
          <w:szCs w:val="20"/>
          <w:lang w:val="en-GB"/>
        </w:rPr>
        <w:t xml:space="preserve"> from the </w:t>
      </w:r>
      <w:r w:rsidR="00C83E8B">
        <w:rPr>
          <w:rStyle w:val="normaltextrun"/>
          <w:rFonts w:ascii="Arial" w:eastAsiaTheme="majorEastAsia" w:hAnsi="Arial" w:cs="Arial"/>
          <w:b/>
          <w:bCs/>
          <w:sz w:val="20"/>
          <w:szCs w:val="20"/>
          <w:lang w:val="en-GB"/>
        </w:rPr>
        <w:t>“</w:t>
      </w:r>
      <w:r w:rsidR="00560A41">
        <w:rPr>
          <w:rStyle w:val="normaltextrun"/>
          <w:rFonts w:ascii="Arial" w:eastAsiaTheme="majorEastAsia" w:hAnsi="Arial" w:cs="Arial"/>
          <w:b/>
          <w:bCs/>
          <w:sz w:val="20"/>
          <w:szCs w:val="20"/>
          <w:lang w:val="en-GB"/>
        </w:rPr>
        <w:t>Camping sites</w:t>
      </w:r>
      <w:r w:rsidR="00720027" w:rsidRPr="001A7DCD">
        <w:rPr>
          <w:rStyle w:val="normaltextrun"/>
          <w:rFonts w:ascii="Arial" w:eastAsiaTheme="majorEastAsia" w:hAnsi="Arial" w:cs="Arial"/>
          <w:b/>
          <w:bCs/>
          <w:sz w:val="20"/>
          <w:szCs w:val="20"/>
          <w:lang w:val="en-GB"/>
        </w:rPr>
        <w:t>“</w:t>
      </w:r>
      <w:r w:rsidR="00A74142">
        <w:rPr>
          <w:rStyle w:val="normaltextrun"/>
          <w:rFonts w:ascii="Arial" w:eastAsiaTheme="majorEastAsia" w:hAnsi="Arial" w:cs="Arial"/>
          <w:b/>
          <w:bCs/>
          <w:sz w:val="20"/>
          <w:szCs w:val="20"/>
          <w:lang w:val="en-GB"/>
        </w:rPr>
        <w:t xml:space="preserve"> group</w:t>
      </w:r>
      <w:r w:rsidR="00720027" w:rsidRPr="001A7DCD">
        <w:rPr>
          <w:rStyle w:val="normaltextrun"/>
          <w:rFonts w:ascii="Arial" w:eastAsiaTheme="majorEastAsia" w:hAnsi="Arial" w:cs="Arial"/>
          <w:b/>
          <w:bCs/>
          <w:sz w:val="20"/>
          <w:szCs w:val="20"/>
          <w:lang w:val="en-GB"/>
        </w:rPr>
        <w:t> </w:t>
      </w:r>
      <w:r w:rsidR="00720027" w:rsidRPr="001A7DCD">
        <w:rPr>
          <w:rStyle w:val="eop"/>
          <w:rFonts w:ascii="Arial" w:eastAsiaTheme="majorEastAsia" w:hAnsi="Arial" w:cs="Arial"/>
          <w:sz w:val="20"/>
          <w:szCs w:val="20"/>
          <w:lang w:val="en-GB"/>
        </w:rPr>
        <w:t> </w:t>
      </w:r>
    </w:p>
    <w:p w14:paraId="17EA8CE8" w14:textId="1DF129DD" w:rsidR="40B4E15E" w:rsidRPr="001A7DCD" w:rsidRDefault="40B4E15E" w:rsidP="40B4E15E">
      <w:pPr>
        <w:pStyle w:val="paragraph"/>
        <w:spacing w:before="0" w:beforeAutospacing="0" w:after="0" w:afterAutospacing="0"/>
        <w:ind w:left="720"/>
        <w:rPr>
          <w:rFonts w:ascii="Arial" w:hAnsi="Arial" w:cs="Arial"/>
          <w:sz w:val="20"/>
          <w:szCs w:val="20"/>
          <w:lang w:val="en-GB"/>
        </w:rPr>
      </w:pPr>
    </w:p>
    <w:p w14:paraId="02058656" w14:textId="2DB0CD5C" w:rsidR="00720027" w:rsidRPr="001A7DCD" w:rsidRDefault="00D279DA" w:rsidP="000D1EAC">
      <w:pPr>
        <w:pStyle w:val="paragraph"/>
        <w:numPr>
          <w:ilvl w:val="0"/>
          <w:numId w:val="23"/>
        </w:numPr>
        <w:spacing w:before="0" w:beforeAutospacing="0" w:after="0" w:afterAutospacing="0"/>
        <w:textAlignment w:val="baseline"/>
        <w:rPr>
          <w:rFonts w:ascii="Arial" w:hAnsi="Arial" w:cs="Arial"/>
          <w:sz w:val="20"/>
          <w:szCs w:val="20"/>
          <w:lang w:val="en-GB"/>
        </w:rPr>
      </w:pPr>
      <w:r>
        <w:rPr>
          <w:rStyle w:val="normaltextrun"/>
          <w:rFonts w:ascii="Arial" w:eastAsiaTheme="majorEastAsia" w:hAnsi="Arial" w:cs="Arial"/>
          <w:sz w:val="20"/>
          <w:szCs w:val="20"/>
          <w:lang w:val="en-GB"/>
        </w:rPr>
        <w:t>Camping site</w:t>
      </w:r>
      <w:r w:rsidR="00720027" w:rsidRPr="001A7DCD">
        <w:rPr>
          <w:rStyle w:val="normaltextrun"/>
          <w:rFonts w:ascii="Arial" w:eastAsiaTheme="majorEastAsia" w:hAnsi="Arial" w:cs="Arial"/>
          <w:sz w:val="20"/>
          <w:szCs w:val="20"/>
          <w:lang w:val="en-GB"/>
        </w:rPr>
        <w:t>, </w:t>
      </w:r>
      <w:r w:rsidR="00720027" w:rsidRPr="001A7DCD">
        <w:rPr>
          <w:rStyle w:val="eop"/>
          <w:rFonts w:ascii="Arial" w:eastAsiaTheme="majorEastAsia" w:hAnsi="Arial" w:cs="Arial"/>
          <w:sz w:val="20"/>
          <w:szCs w:val="20"/>
          <w:lang w:val="en-GB"/>
        </w:rPr>
        <w:t> </w:t>
      </w:r>
    </w:p>
    <w:p w14:paraId="28FF49F7" w14:textId="77777777" w:rsidR="00720027" w:rsidRPr="001A7DCD" w:rsidRDefault="00720027" w:rsidP="000D1EAC">
      <w:pPr>
        <w:pStyle w:val="paragraph"/>
        <w:numPr>
          <w:ilvl w:val="0"/>
          <w:numId w:val="23"/>
        </w:numPr>
        <w:spacing w:before="0" w:beforeAutospacing="0" w:after="0" w:afterAutospacing="0"/>
        <w:textAlignment w:val="baseline"/>
        <w:rPr>
          <w:rFonts w:ascii="Arial" w:hAnsi="Arial" w:cs="Arial"/>
          <w:sz w:val="20"/>
          <w:szCs w:val="20"/>
          <w:lang w:val="en-GB"/>
        </w:rPr>
      </w:pPr>
      <w:r w:rsidRPr="001A7DCD">
        <w:rPr>
          <w:rStyle w:val="normaltextrun"/>
          <w:rFonts w:ascii="Arial" w:eastAsiaTheme="majorEastAsia" w:hAnsi="Arial" w:cs="Arial"/>
          <w:sz w:val="20"/>
          <w:szCs w:val="20"/>
          <w:lang w:val="en-GB"/>
        </w:rPr>
        <w:t>Glamping</w:t>
      </w:r>
      <w:r w:rsidRPr="001A7DCD">
        <w:rPr>
          <w:rStyle w:val="eop"/>
          <w:rFonts w:ascii="Arial" w:eastAsiaTheme="majorEastAsia" w:hAnsi="Arial" w:cs="Arial"/>
          <w:sz w:val="20"/>
          <w:szCs w:val="20"/>
          <w:lang w:val="en-GB"/>
        </w:rPr>
        <w:t> </w:t>
      </w:r>
    </w:p>
    <w:p w14:paraId="64C54F77" w14:textId="401AA804" w:rsidR="00720027" w:rsidRPr="001A7DCD" w:rsidRDefault="00720027" w:rsidP="000D1EAC">
      <w:pPr>
        <w:pStyle w:val="paragraph"/>
        <w:spacing w:before="0" w:beforeAutospacing="0" w:after="0" w:afterAutospacing="0"/>
        <w:ind w:left="270"/>
        <w:textAlignment w:val="baseline"/>
        <w:rPr>
          <w:rStyle w:val="eop"/>
          <w:rFonts w:ascii="Arial" w:eastAsiaTheme="majorEastAsia" w:hAnsi="Arial" w:cs="Arial"/>
          <w:sz w:val="20"/>
          <w:szCs w:val="20"/>
          <w:lang w:val="en-GB"/>
        </w:rPr>
      </w:pPr>
    </w:p>
    <w:p w14:paraId="4B13A61F" w14:textId="77777777" w:rsidR="00BB3CE5" w:rsidRPr="001A7DCD" w:rsidRDefault="00BB3CE5" w:rsidP="000D1EAC">
      <w:pPr>
        <w:pStyle w:val="paragraph"/>
        <w:spacing w:before="0" w:beforeAutospacing="0" w:after="0" w:afterAutospacing="0"/>
        <w:ind w:left="270"/>
        <w:textAlignment w:val="baseline"/>
        <w:rPr>
          <w:rFonts w:ascii="Arial" w:hAnsi="Arial" w:cs="Arial"/>
          <w:sz w:val="20"/>
          <w:szCs w:val="20"/>
          <w:lang w:val="en-GB"/>
        </w:rPr>
      </w:pPr>
    </w:p>
    <w:p w14:paraId="5A6CFC97" w14:textId="54C1DF96" w:rsidR="00EB42BB" w:rsidRPr="001A7DCD" w:rsidRDefault="00DE12E5" w:rsidP="000D1EAC">
      <w:pPr>
        <w:rPr>
          <w:rFonts w:ascii="Arial" w:hAnsi="Arial" w:cs="Arial"/>
          <w:sz w:val="20"/>
          <w:szCs w:val="20"/>
          <w:lang w:val="en-GB"/>
        </w:rPr>
      </w:pPr>
      <w:r>
        <w:rPr>
          <w:rFonts w:ascii="Arial" w:hAnsi="Arial" w:cs="Arial"/>
          <w:sz w:val="20"/>
          <w:szCs w:val="20"/>
          <w:lang w:val="en-GB"/>
        </w:rPr>
        <w:t>The result of investment in hospitality establishments for accommodation from the</w:t>
      </w:r>
      <w:r w:rsidRPr="001A7DCD">
        <w:rPr>
          <w:rFonts w:ascii="Arial" w:hAnsi="Arial" w:cs="Arial"/>
          <w:sz w:val="20"/>
          <w:szCs w:val="20"/>
          <w:lang w:val="en-GB"/>
        </w:rPr>
        <w:t xml:space="preserve"> </w:t>
      </w:r>
      <w:r w:rsidR="00B258EA">
        <w:rPr>
          <w:rFonts w:ascii="Arial" w:hAnsi="Arial" w:cs="Arial"/>
          <w:sz w:val="20"/>
          <w:szCs w:val="20"/>
          <w:lang w:val="en-GB"/>
        </w:rPr>
        <w:t>“</w:t>
      </w:r>
      <w:r>
        <w:rPr>
          <w:rFonts w:ascii="Arial" w:hAnsi="Arial" w:cs="Arial"/>
          <w:sz w:val="20"/>
          <w:szCs w:val="20"/>
          <w:lang w:val="en-GB"/>
        </w:rPr>
        <w:t>Camping Sites</w:t>
      </w:r>
      <w:r w:rsidR="00EB42BB" w:rsidRPr="001A7DCD">
        <w:rPr>
          <w:rFonts w:ascii="Arial" w:hAnsi="Arial" w:cs="Arial"/>
          <w:sz w:val="20"/>
          <w:szCs w:val="20"/>
          <w:lang w:val="en-GB"/>
        </w:rPr>
        <w:t>“</w:t>
      </w:r>
      <w:r>
        <w:rPr>
          <w:rFonts w:ascii="Arial" w:hAnsi="Arial" w:cs="Arial"/>
          <w:sz w:val="20"/>
          <w:szCs w:val="20"/>
          <w:lang w:val="en-GB"/>
        </w:rPr>
        <w:t xml:space="preserve"> group</w:t>
      </w:r>
      <w:r w:rsidR="00EB42BB" w:rsidRPr="001A7DCD">
        <w:rPr>
          <w:rFonts w:ascii="Arial" w:hAnsi="Arial" w:cs="Arial"/>
          <w:sz w:val="20"/>
          <w:szCs w:val="20"/>
          <w:lang w:val="en-GB"/>
        </w:rPr>
        <w:t>:</w:t>
      </w:r>
    </w:p>
    <w:p w14:paraId="322A5692" w14:textId="0B21E552" w:rsidR="00367FAD" w:rsidRPr="001A7DCD" w:rsidRDefault="00DE12E5" w:rsidP="00B41FA5">
      <w:pPr>
        <w:pStyle w:val="Odlomakpopisa"/>
        <w:numPr>
          <w:ilvl w:val="0"/>
          <w:numId w:val="1"/>
        </w:numPr>
        <w:rPr>
          <w:rFonts w:ascii="Arial" w:hAnsi="Arial" w:cs="Arial"/>
          <w:sz w:val="20"/>
          <w:szCs w:val="20"/>
          <w:lang w:val="en-GB"/>
        </w:rPr>
      </w:pPr>
      <w:r>
        <w:rPr>
          <w:rFonts w:ascii="Arial" w:hAnsi="Arial" w:cs="Arial"/>
          <w:sz w:val="20"/>
          <w:szCs w:val="20"/>
          <w:lang w:val="en-GB"/>
        </w:rPr>
        <w:t>In TDR</w:t>
      </w:r>
      <w:r w:rsidR="00B41FA5" w:rsidRPr="001A7DCD">
        <w:rPr>
          <w:rFonts w:ascii="Arial" w:hAnsi="Arial" w:cs="Arial"/>
          <w:sz w:val="20"/>
          <w:szCs w:val="20"/>
          <w:lang w:val="en-GB"/>
        </w:rPr>
        <w:t xml:space="preserve"> 1 </w:t>
      </w:r>
      <w:r>
        <w:rPr>
          <w:rFonts w:ascii="Arial" w:hAnsi="Arial" w:cs="Arial"/>
          <w:sz w:val="20"/>
          <w:szCs w:val="20"/>
          <w:lang w:val="en-GB"/>
        </w:rPr>
        <w:t>category must not result in the increase of accommodation capacities</w:t>
      </w:r>
      <w:r w:rsidR="00FA4CA7" w:rsidRPr="001A7DCD">
        <w:rPr>
          <w:rStyle w:val="Referencafusnote"/>
          <w:rFonts w:ascii="Arial" w:hAnsi="Arial" w:cs="Arial"/>
          <w:sz w:val="20"/>
          <w:szCs w:val="20"/>
          <w:lang w:val="en-GB"/>
        </w:rPr>
        <w:footnoteReference w:id="5"/>
      </w:r>
      <w:r w:rsidR="00FA4CA7" w:rsidRPr="001A7DCD">
        <w:rPr>
          <w:rFonts w:ascii="Arial" w:hAnsi="Arial" w:cs="Arial"/>
          <w:sz w:val="20"/>
          <w:szCs w:val="20"/>
          <w:lang w:val="en-GB"/>
        </w:rPr>
        <w:t>.</w:t>
      </w:r>
    </w:p>
    <w:p w14:paraId="6CC68202" w14:textId="1738D443" w:rsidR="00B41FA5" w:rsidRPr="001A7DCD" w:rsidRDefault="0019778A" w:rsidP="00B41FA5">
      <w:pPr>
        <w:pStyle w:val="Odlomakpopisa"/>
        <w:numPr>
          <w:ilvl w:val="0"/>
          <w:numId w:val="1"/>
        </w:numPr>
        <w:rPr>
          <w:rFonts w:ascii="Arial" w:hAnsi="Arial" w:cs="Arial"/>
          <w:sz w:val="20"/>
          <w:szCs w:val="20"/>
          <w:lang w:val="en-GB"/>
        </w:rPr>
      </w:pPr>
      <w:r>
        <w:rPr>
          <w:rFonts w:ascii="Arial" w:hAnsi="Arial" w:cs="Arial"/>
          <w:sz w:val="20"/>
          <w:szCs w:val="20"/>
          <w:lang w:val="en-GB"/>
        </w:rPr>
        <w:t>If classified in categories, it must be at least</w:t>
      </w:r>
      <w:r w:rsidR="00B41FA5" w:rsidRPr="001A7DCD">
        <w:rPr>
          <w:rFonts w:ascii="Arial" w:hAnsi="Arial" w:cs="Arial"/>
          <w:sz w:val="20"/>
          <w:szCs w:val="20"/>
          <w:lang w:val="en-GB"/>
        </w:rPr>
        <w:t>:</w:t>
      </w:r>
    </w:p>
    <w:p w14:paraId="6D06498A" w14:textId="6F7589A9" w:rsidR="00B41FA5" w:rsidRPr="00DC2D44" w:rsidRDefault="00B41FA5" w:rsidP="40B4E15E">
      <w:pPr>
        <w:pStyle w:val="Odlomakpopisa"/>
        <w:numPr>
          <w:ilvl w:val="1"/>
          <w:numId w:val="1"/>
        </w:numPr>
        <w:rPr>
          <w:rFonts w:ascii="Arial" w:hAnsi="Arial" w:cs="Arial"/>
          <w:sz w:val="20"/>
          <w:szCs w:val="20"/>
          <w:lang w:val="en-GB"/>
        </w:rPr>
      </w:pPr>
      <w:r w:rsidRPr="00DC2D44">
        <w:rPr>
          <w:rFonts w:ascii="Arial" w:hAnsi="Arial" w:cs="Arial"/>
          <w:sz w:val="20"/>
          <w:szCs w:val="20"/>
          <w:lang w:val="en-GB"/>
        </w:rPr>
        <w:t>4</w:t>
      </w:r>
      <w:r w:rsidR="00727353" w:rsidRPr="00DC2D44">
        <w:rPr>
          <w:rFonts w:ascii="Arial" w:hAnsi="Arial" w:cs="Arial"/>
          <w:sz w:val="20"/>
          <w:szCs w:val="20"/>
          <w:lang w:val="en-GB"/>
        </w:rPr>
        <w:t>-star for TDI</w:t>
      </w:r>
      <w:r w:rsidRPr="00DC2D44">
        <w:rPr>
          <w:rFonts w:ascii="Arial" w:hAnsi="Arial" w:cs="Arial"/>
          <w:sz w:val="20"/>
          <w:szCs w:val="20"/>
          <w:lang w:val="en-GB"/>
        </w:rPr>
        <w:t xml:space="preserve"> 1</w:t>
      </w:r>
    </w:p>
    <w:p w14:paraId="131F2A0D" w14:textId="47859315" w:rsidR="005179BA" w:rsidRPr="001A7DCD" w:rsidRDefault="00B41FA5" w:rsidP="40B4E15E">
      <w:pPr>
        <w:pStyle w:val="Odlomakpopisa"/>
        <w:numPr>
          <w:ilvl w:val="1"/>
          <w:numId w:val="1"/>
        </w:numPr>
        <w:rPr>
          <w:rFonts w:ascii="Arial" w:hAnsi="Arial" w:cs="Arial"/>
          <w:sz w:val="20"/>
          <w:szCs w:val="20"/>
          <w:lang w:val="en-GB"/>
        </w:rPr>
      </w:pPr>
      <w:r w:rsidRPr="00DC2D44">
        <w:rPr>
          <w:rFonts w:ascii="Arial" w:hAnsi="Arial" w:cs="Arial"/>
          <w:sz w:val="20"/>
          <w:szCs w:val="20"/>
          <w:lang w:val="en-GB"/>
        </w:rPr>
        <w:t>3</w:t>
      </w:r>
      <w:r w:rsidR="00727353" w:rsidRPr="00DC2D44">
        <w:rPr>
          <w:rFonts w:ascii="Arial" w:hAnsi="Arial" w:cs="Arial"/>
          <w:sz w:val="20"/>
          <w:szCs w:val="20"/>
          <w:lang w:val="en-GB"/>
        </w:rPr>
        <w:t xml:space="preserve">-star </w:t>
      </w:r>
      <w:r w:rsidR="00727353">
        <w:rPr>
          <w:rFonts w:ascii="Arial" w:hAnsi="Arial" w:cs="Arial"/>
          <w:sz w:val="20"/>
          <w:szCs w:val="20"/>
          <w:lang w:val="en-GB"/>
        </w:rPr>
        <w:t>for TDI</w:t>
      </w:r>
      <w:r w:rsidRPr="001A7DCD">
        <w:rPr>
          <w:rFonts w:ascii="Arial" w:hAnsi="Arial" w:cs="Arial"/>
          <w:sz w:val="20"/>
          <w:szCs w:val="20"/>
          <w:lang w:val="en-GB"/>
        </w:rPr>
        <w:t xml:space="preserve"> 0,</w:t>
      </w:r>
      <w:r w:rsidR="00923EFC" w:rsidRPr="001A7DCD">
        <w:rPr>
          <w:rFonts w:ascii="Arial" w:hAnsi="Arial" w:cs="Arial"/>
          <w:sz w:val="20"/>
          <w:szCs w:val="20"/>
          <w:lang w:val="en-GB"/>
        </w:rPr>
        <w:t xml:space="preserve"> </w:t>
      </w:r>
      <w:r w:rsidRPr="001A7DCD">
        <w:rPr>
          <w:rFonts w:ascii="Arial" w:hAnsi="Arial" w:cs="Arial"/>
          <w:sz w:val="20"/>
          <w:szCs w:val="20"/>
          <w:lang w:val="en-GB"/>
        </w:rPr>
        <w:t>2,</w:t>
      </w:r>
      <w:r w:rsidR="00923EFC" w:rsidRPr="001A7DCD">
        <w:rPr>
          <w:rFonts w:ascii="Arial" w:hAnsi="Arial" w:cs="Arial"/>
          <w:sz w:val="20"/>
          <w:szCs w:val="20"/>
          <w:lang w:val="en-GB"/>
        </w:rPr>
        <w:t xml:space="preserve"> </w:t>
      </w:r>
      <w:r w:rsidRPr="001A7DCD">
        <w:rPr>
          <w:rFonts w:ascii="Arial" w:hAnsi="Arial" w:cs="Arial"/>
          <w:sz w:val="20"/>
          <w:szCs w:val="20"/>
          <w:lang w:val="en-GB"/>
        </w:rPr>
        <w:t>3,</w:t>
      </w:r>
      <w:r w:rsidR="00923EFC" w:rsidRPr="001A7DCD">
        <w:rPr>
          <w:rFonts w:ascii="Arial" w:hAnsi="Arial" w:cs="Arial"/>
          <w:sz w:val="20"/>
          <w:szCs w:val="20"/>
          <w:lang w:val="en-GB"/>
        </w:rPr>
        <w:t xml:space="preserve"> </w:t>
      </w:r>
      <w:r w:rsidRPr="001A7DCD">
        <w:rPr>
          <w:rFonts w:ascii="Arial" w:hAnsi="Arial" w:cs="Arial"/>
          <w:sz w:val="20"/>
          <w:szCs w:val="20"/>
          <w:lang w:val="en-GB"/>
        </w:rPr>
        <w:t>4.</w:t>
      </w:r>
    </w:p>
    <w:p w14:paraId="67160F95" w14:textId="2E33ACAB" w:rsidR="005179BA" w:rsidRPr="001A7DCD" w:rsidRDefault="005179BA" w:rsidP="40B4E15E">
      <w:pPr>
        <w:pStyle w:val="paragraph"/>
        <w:spacing w:before="0" w:beforeAutospacing="0" w:after="0" w:afterAutospacing="0"/>
        <w:jc w:val="both"/>
        <w:textAlignment w:val="baseline"/>
        <w:rPr>
          <w:rStyle w:val="normaltextrun"/>
          <w:rFonts w:ascii="Arial" w:hAnsi="Arial" w:cs="Arial"/>
          <w:sz w:val="20"/>
          <w:szCs w:val="20"/>
          <w:lang w:val="en-GB"/>
        </w:rPr>
      </w:pPr>
    </w:p>
    <w:p w14:paraId="029C1626" w14:textId="01DD58C3" w:rsidR="00217E05" w:rsidRPr="001A7DCD" w:rsidRDefault="003A79AF" w:rsidP="000D1EAC">
      <w:pPr>
        <w:pStyle w:val="paragraph"/>
        <w:numPr>
          <w:ilvl w:val="0"/>
          <w:numId w:val="18"/>
        </w:numPr>
        <w:spacing w:before="0" w:beforeAutospacing="0" w:after="0" w:afterAutospacing="0"/>
        <w:jc w:val="both"/>
        <w:textAlignment w:val="baseline"/>
        <w:rPr>
          <w:rStyle w:val="normaltextrun"/>
          <w:rFonts w:ascii="Arial" w:hAnsi="Arial" w:cs="Arial"/>
          <w:sz w:val="20"/>
          <w:szCs w:val="20"/>
          <w:lang w:val="en-GB"/>
        </w:rPr>
      </w:pPr>
      <w:r>
        <w:rPr>
          <w:rStyle w:val="normaltextrun"/>
          <w:rFonts w:ascii="Arial" w:eastAsiaTheme="majorEastAsia" w:hAnsi="Arial" w:cs="Arial"/>
          <w:b/>
          <w:bCs/>
          <w:sz w:val="20"/>
          <w:szCs w:val="20"/>
          <w:lang w:val="en-GB"/>
        </w:rPr>
        <w:t>Investments in new, additional</w:t>
      </w:r>
      <w:r w:rsidR="00042D08">
        <w:rPr>
          <w:rStyle w:val="normaltextrun"/>
          <w:rFonts w:ascii="Arial" w:eastAsiaTheme="majorEastAsia" w:hAnsi="Arial" w:cs="Arial"/>
          <w:b/>
          <w:bCs/>
          <w:sz w:val="20"/>
          <w:szCs w:val="20"/>
          <w:lang w:val="en-GB"/>
        </w:rPr>
        <w:t xml:space="preserve"> or optional </w:t>
      </w:r>
      <w:r w:rsidR="00032B4E">
        <w:rPr>
          <w:rStyle w:val="normaltextrun"/>
          <w:rFonts w:ascii="Arial" w:eastAsiaTheme="majorEastAsia" w:hAnsi="Arial" w:cs="Arial"/>
          <w:b/>
          <w:bCs/>
          <w:sz w:val="20"/>
          <w:szCs w:val="20"/>
          <w:lang w:val="en-GB"/>
        </w:rPr>
        <w:t>facilities</w:t>
      </w:r>
      <w:r w:rsidR="00042D08">
        <w:rPr>
          <w:rStyle w:val="normaltextrun"/>
          <w:rFonts w:ascii="Arial" w:eastAsiaTheme="majorEastAsia" w:hAnsi="Arial" w:cs="Arial"/>
          <w:b/>
          <w:bCs/>
          <w:sz w:val="20"/>
          <w:szCs w:val="20"/>
          <w:lang w:val="en-GB"/>
        </w:rPr>
        <w:t xml:space="preserve"> and/or investments in </w:t>
      </w:r>
      <w:r w:rsidR="00834DF0">
        <w:rPr>
          <w:rStyle w:val="normaltextrun"/>
          <w:rFonts w:ascii="Arial" w:eastAsiaTheme="majorEastAsia" w:hAnsi="Arial" w:cs="Arial"/>
          <w:b/>
          <w:bCs/>
          <w:sz w:val="20"/>
          <w:szCs w:val="20"/>
          <w:lang w:val="en-GB"/>
        </w:rPr>
        <w:t>the expansion and/or</w:t>
      </w:r>
      <w:r w:rsidR="00641296">
        <w:rPr>
          <w:rStyle w:val="normaltextrun"/>
          <w:rFonts w:ascii="Arial" w:eastAsiaTheme="majorEastAsia" w:hAnsi="Arial" w:cs="Arial"/>
          <w:b/>
          <w:bCs/>
          <w:sz w:val="20"/>
          <w:szCs w:val="20"/>
          <w:lang w:val="en-GB"/>
        </w:rPr>
        <w:t xml:space="preserve"> improvement</w:t>
      </w:r>
      <w:r w:rsidR="00BD40A1" w:rsidRPr="001A7DCD">
        <w:rPr>
          <w:rStyle w:val="normaltextrun"/>
          <w:rFonts w:ascii="Arial" w:eastAsiaTheme="majorEastAsia" w:hAnsi="Arial" w:cs="Arial"/>
          <w:b/>
          <w:bCs/>
          <w:sz w:val="20"/>
          <w:szCs w:val="20"/>
          <w:lang w:val="en-GB"/>
        </w:rPr>
        <w:t xml:space="preserve"> (re</w:t>
      </w:r>
      <w:r w:rsidR="00641296">
        <w:rPr>
          <w:rStyle w:val="normaltextrun"/>
          <w:rFonts w:ascii="Arial" w:eastAsiaTheme="majorEastAsia" w:hAnsi="Arial" w:cs="Arial"/>
          <w:b/>
          <w:bCs/>
          <w:sz w:val="20"/>
          <w:szCs w:val="20"/>
          <w:lang w:val="en-GB"/>
        </w:rPr>
        <w:t>c</w:t>
      </w:r>
      <w:r w:rsidR="00BD40A1" w:rsidRPr="001A7DCD">
        <w:rPr>
          <w:rStyle w:val="normaltextrun"/>
          <w:rFonts w:ascii="Arial" w:eastAsiaTheme="majorEastAsia" w:hAnsi="Arial" w:cs="Arial"/>
          <w:b/>
          <w:bCs/>
          <w:sz w:val="20"/>
          <w:szCs w:val="20"/>
          <w:lang w:val="en-GB"/>
        </w:rPr>
        <w:t>onstru</w:t>
      </w:r>
      <w:r w:rsidR="00641296">
        <w:rPr>
          <w:rStyle w:val="normaltextrun"/>
          <w:rFonts w:ascii="Arial" w:eastAsiaTheme="majorEastAsia" w:hAnsi="Arial" w:cs="Arial"/>
          <w:b/>
          <w:bCs/>
          <w:sz w:val="20"/>
          <w:szCs w:val="20"/>
          <w:lang w:val="en-GB"/>
        </w:rPr>
        <w:t>ction</w:t>
      </w:r>
      <w:r w:rsidR="00BD40A1" w:rsidRPr="001A7DCD">
        <w:rPr>
          <w:rStyle w:val="normaltextrun"/>
          <w:rFonts w:ascii="Arial" w:eastAsiaTheme="majorEastAsia" w:hAnsi="Arial" w:cs="Arial"/>
          <w:b/>
          <w:bCs/>
          <w:sz w:val="20"/>
          <w:szCs w:val="20"/>
          <w:lang w:val="en-GB"/>
        </w:rPr>
        <w:t>/</w:t>
      </w:r>
      <w:r w:rsidR="00641296">
        <w:rPr>
          <w:rStyle w:val="normaltextrun"/>
          <w:rFonts w:ascii="Arial" w:eastAsiaTheme="majorEastAsia" w:hAnsi="Arial" w:cs="Arial"/>
          <w:b/>
          <w:bCs/>
          <w:sz w:val="20"/>
          <w:szCs w:val="20"/>
          <w:lang w:val="en-GB"/>
        </w:rPr>
        <w:t>renewal</w:t>
      </w:r>
      <w:r w:rsidR="00BD40A1" w:rsidRPr="001A7DCD">
        <w:rPr>
          <w:rStyle w:val="normaltextrun"/>
          <w:rFonts w:ascii="Arial" w:eastAsiaTheme="majorEastAsia" w:hAnsi="Arial" w:cs="Arial"/>
          <w:b/>
          <w:bCs/>
          <w:sz w:val="20"/>
          <w:szCs w:val="20"/>
          <w:lang w:val="en-GB"/>
        </w:rPr>
        <w:t xml:space="preserve">) </w:t>
      </w:r>
      <w:r w:rsidR="004E2719">
        <w:rPr>
          <w:rStyle w:val="normaltextrun"/>
          <w:rFonts w:ascii="Arial" w:eastAsiaTheme="majorEastAsia" w:hAnsi="Arial" w:cs="Arial"/>
          <w:b/>
          <w:bCs/>
          <w:sz w:val="20"/>
          <w:szCs w:val="20"/>
          <w:lang w:val="en-GB"/>
        </w:rPr>
        <w:t xml:space="preserve">of existing additional or optional facilities that </w:t>
      </w:r>
      <w:r w:rsidR="008E50DD">
        <w:rPr>
          <w:rStyle w:val="normaltextrun"/>
          <w:rFonts w:ascii="Arial" w:eastAsiaTheme="majorEastAsia" w:hAnsi="Arial" w:cs="Arial"/>
          <w:b/>
          <w:bCs/>
          <w:sz w:val="20"/>
          <w:szCs w:val="20"/>
          <w:lang w:val="en-GB"/>
        </w:rPr>
        <w:t>are created</w:t>
      </w:r>
      <w:r w:rsidR="00551C20">
        <w:rPr>
          <w:rStyle w:val="normaltextrun"/>
          <w:rFonts w:ascii="Arial" w:eastAsiaTheme="majorEastAsia" w:hAnsi="Arial" w:cs="Arial"/>
          <w:b/>
          <w:bCs/>
          <w:sz w:val="20"/>
          <w:szCs w:val="20"/>
          <w:lang w:val="en-GB"/>
        </w:rPr>
        <w:t xml:space="preserve"> with the aim of providing</w:t>
      </w:r>
      <w:r w:rsidR="00EC7B12">
        <w:rPr>
          <w:rStyle w:val="normaltextrun"/>
          <w:rFonts w:ascii="Arial" w:eastAsiaTheme="majorEastAsia" w:hAnsi="Arial" w:cs="Arial"/>
          <w:b/>
          <w:bCs/>
          <w:sz w:val="20"/>
          <w:szCs w:val="20"/>
          <w:lang w:val="en-GB"/>
        </w:rPr>
        <w:t xml:space="preserve"> other services within a hospitality establishment for</w:t>
      </w:r>
      <w:r w:rsidR="00110501">
        <w:rPr>
          <w:rStyle w:val="normaltextrun"/>
          <w:rFonts w:ascii="Arial" w:eastAsiaTheme="majorEastAsia" w:hAnsi="Arial" w:cs="Arial"/>
          <w:b/>
          <w:bCs/>
          <w:sz w:val="20"/>
          <w:szCs w:val="20"/>
          <w:lang w:val="en-GB"/>
        </w:rPr>
        <w:t xml:space="preserve"> accommodation</w:t>
      </w:r>
      <w:r w:rsidR="00BD40A1" w:rsidRPr="001A7DCD">
        <w:rPr>
          <w:rStyle w:val="normaltextrun"/>
          <w:rFonts w:ascii="Arial" w:eastAsiaTheme="majorEastAsia" w:hAnsi="Arial" w:cs="Arial"/>
          <w:b/>
          <w:bCs/>
          <w:sz w:val="20"/>
          <w:szCs w:val="20"/>
          <w:lang w:val="en-GB"/>
        </w:rPr>
        <w:t xml:space="preserve"> </w:t>
      </w:r>
      <w:r w:rsidR="006A4D46">
        <w:rPr>
          <w:rStyle w:val="normaltextrun"/>
          <w:rFonts w:ascii="Arial" w:eastAsiaTheme="majorEastAsia" w:hAnsi="Arial" w:cs="Arial"/>
          <w:b/>
          <w:bCs/>
          <w:sz w:val="20"/>
          <w:szCs w:val="20"/>
          <w:lang w:val="en-GB"/>
        </w:rPr>
        <w:t xml:space="preserve">classified in </w:t>
      </w:r>
      <w:r w:rsidR="004C08BF">
        <w:rPr>
          <w:rStyle w:val="normaltextrun"/>
          <w:rFonts w:ascii="Arial" w:eastAsiaTheme="majorEastAsia" w:hAnsi="Arial" w:cs="Arial"/>
          <w:b/>
          <w:bCs/>
          <w:sz w:val="20"/>
          <w:szCs w:val="20"/>
          <w:lang w:val="en-GB"/>
        </w:rPr>
        <w:t>at least 3-star categor</w:t>
      </w:r>
      <w:r w:rsidR="00BC509E">
        <w:rPr>
          <w:rStyle w:val="normaltextrun"/>
          <w:rFonts w:ascii="Arial" w:eastAsiaTheme="majorEastAsia" w:hAnsi="Arial" w:cs="Arial"/>
          <w:b/>
          <w:bCs/>
          <w:sz w:val="20"/>
          <w:szCs w:val="20"/>
          <w:lang w:val="en-GB"/>
        </w:rPr>
        <w:t xml:space="preserve">y from the </w:t>
      </w:r>
      <w:r w:rsidR="00DC2D44">
        <w:rPr>
          <w:rStyle w:val="normaltextrun"/>
          <w:rFonts w:ascii="Arial" w:eastAsiaTheme="majorEastAsia" w:hAnsi="Arial" w:cs="Arial"/>
          <w:b/>
          <w:bCs/>
          <w:sz w:val="20"/>
          <w:szCs w:val="20"/>
          <w:lang w:val="en-GB"/>
        </w:rPr>
        <w:t>“</w:t>
      </w:r>
      <w:r w:rsidR="00BD40A1" w:rsidRPr="001A7DCD">
        <w:rPr>
          <w:rStyle w:val="normaltextrun"/>
          <w:rFonts w:ascii="Arial" w:eastAsiaTheme="majorEastAsia" w:hAnsi="Arial" w:cs="Arial"/>
          <w:b/>
          <w:bCs/>
          <w:sz w:val="20"/>
          <w:szCs w:val="20"/>
          <w:lang w:val="en-GB"/>
        </w:rPr>
        <w:t>Hotel</w:t>
      </w:r>
      <w:r w:rsidR="00BC509E">
        <w:rPr>
          <w:rStyle w:val="normaltextrun"/>
          <w:rFonts w:ascii="Arial" w:eastAsiaTheme="majorEastAsia" w:hAnsi="Arial" w:cs="Arial"/>
          <w:b/>
          <w:bCs/>
          <w:sz w:val="20"/>
          <w:szCs w:val="20"/>
          <w:lang w:val="en-GB"/>
        </w:rPr>
        <w:t>s</w:t>
      </w:r>
      <w:r w:rsidR="00BD40A1" w:rsidRPr="001A7DCD">
        <w:rPr>
          <w:rStyle w:val="normaltextrun"/>
          <w:rFonts w:ascii="Arial" w:eastAsiaTheme="majorEastAsia" w:hAnsi="Arial" w:cs="Arial"/>
          <w:b/>
          <w:bCs/>
          <w:sz w:val="20"/>
          <w:szCs w:val="20"/>
          <w:lang w:val="en-GB"/>
        </w:rPr>
        <w:t xml:space="preserve">“ </w:t>
      </w:r>
      <w:r w:rsidR="00BC509E">
        <w:rPr>
          <w:rStyle w:val="normaltextrun"/>
          <w:rFonts w:ascii="Arial" w:eastAsiaTheme="majorEastAsia" w:hAnsi="Arial" w:cs="Arial"/>
          <w:b/>
          <w:bCs/>
          <w:sz w:val="20"/>
          <w:szCs w:val="20"/>
          <w:lang w:val="en-GB"/>
        </w:rPr>
        <w:t>and</w:t>
      </w:r>
      <w:r w:rsidR="00BD40A1" w:rsidRPr="001A7DCD">
        <w:rPr>
          <w:rStyle w:val="normaltextrun"/>
          <w:rFonts w:ascii="Arial" w:eastAsiaTheme="majorEastAsia" w:hAnsi="Arial" w:cs="Arial"/>
          <w:b/>
          <w:bCs/>
          <w:sz w:val="20"/>
          <w:szCs w:val="20"/>
          <w:lang w:val="en-GB"/>
        </w:rPr>
        <w:t xml:space="preserve"> </w:t>
      </w:r>
      <w:r w:rsidR="00DC2D44">
        <w:rPr>
          <w:rStyle w:val="normaltextrun"/>
          <w:rFonts w:ascii="Arial" w:eastAsiaTheme="majorEastAsia" w:hAnsi="Arial" w:cs="Arial"/>
          <w:b/>
          <w:bCs/>
          <w:sz w:val="20"/>
          <w:szCs w:val="20"/>
          <w:lang w:val="en-GB"/>
        </w:rPr>
        <w:t>“</w:t>
      </w:r>
      <w:r w:rsidR="00BC509E">
        <w:rPr>
          <w:rStyle w:val="normaltextrun"/>
          <w:rFonts w:ascii="Arial" w:eastAsiaTheme="majorEastAsia" w:hAnsi="Arial" w:cs="Arial"/>
          <w:b/>
          <w:bCs/>
          <w:sz w:val="20"/>
          <w:szCs w:val="20"/>
          <w:lang w:val="en-GB"/>
        </w:rPr>
        <w:t>Camping sites</w:t>
      </w:r>
      <w:r w:rsidR="00BD40A1" w:rsidRPr="001A7DCD">
        <w:rPr>
          <w:rStyle w:val="normaltextrun"/>
          <w:rFonts w:ascii="Arial" w:eastAsiaTheme="majorEastAsia" w:hAnsi="Arial" w:cs="Arial"/>
          <w:b/>
          <w:bCs/>
          <w:sz w:val="20"/>
          <w:szCs w:val="20"/>
          <w:lang w:val="en-GB"/>
        </w:rPr>
        <w:t>“</w:t>
      </w:r>
      <w:r w:rsidR="00BC509E">
        <w:rPr>
          <w:rStyle w:val="normaltextrun"/>
          <w:rFonts w:ascii="Arial" w:eastAsiaTheme="majorEastAsia" w:hAnsi="Arial" w:cs="Arial"/>
          <w:b/>
          <w:bCs/>
          <w:sz w:val="20"/>
          <w:szCs w:val="20"/>
          <w:lang w:val="en-GB"/>
        </w:rPr>
        <w:t xml:space="preserve"> groups</w:t>
      </w:r>
    </w:p>
    <w:p w14:paraId="5EB4F126" w14:textId="77777777" w:rsidR="00217E05" w:rsidRPr="001A7DCD" w:rsidRDefault="00217E05" w:rsidP="000D1EAC">
      <w:pPr>
        <w:pStyle w:val="paragraph"/>
        <w:spacing w:before="0" w:beforeAutospacing="0" w:after="0" w:afterAutospacing="0"/>
        <w:jc w:val="both"/>
        <w:textAlignment w:val="baseline"/>
        <w:rPr>
          <w:rStyle w:val="normaltextrun"/>
          <w:rFonts w:ascii="Arial" w:hAnsi="Arial" w:cs="Arial"/>
          <w:sz w:val="20"/>
          <w:szCs w:val="20"/>
          <w:lang w:val="en-GB"/>
        </w:rPr>
      </w:pPr>
    </w:p>
    <w:p w14:paraId="075BF8E8" w14:textId="32F334EB" w:rsidR="00217E05" w:rsidRPr="001A7DCD" w:rsidRDefault="00DB15C8" w:rsidP="000D1EAC">
      <w:pPr>
        <w:pStyle w:val="paragraph"/>
        <w:spacing w:before="0" w:beforeAutospacing="0" w:after="0" w:afterAutospacing="0"/>
        <w:jc w:val="both"/>
        <w:textAlignment w:val="baseline"/>
        <w:rPr>
          <w:rStyle w:val="eop"/>
          <w:rFonts w:ascii="Arial" w:hAnsi="Arial" w:cs="Arial"/>
          <w:sz w:val="20"/>
          <w:szCs w:val="20"/>
          <w:lang w:val="en-GB"/>
        </w:rPr>
      </w:pPr>
      <w:r>
        <w:rPr>
          <w:rStyle w:val="normaltextrun"/>
          <w:rFonts w:ascii="Arial" w:eastAsiaTheme="majorEastAsia" w:hAnsi="Arial" w:cs="Arial"/>
          <w:sz w:val="20"/>
          <w:szCs w:val="20"/>
          <w:lang w:val="en-GB"/>
        </w:rPr>
        <w:t xml:space="preserve">Additional facilities </w:t>
      </w:r>
      <w:r w:rsidR="00A82F63">
        <w:rPr>
          <w:rStyle w:val="normaltextrun"/>
          <w:rFonts w:ascii="Arial" w:eastAsiaTheme="majorEastAsia" w:hAnsi="Arial" w:cs="Arial"/>
          <w:sz w:val="20"/>
          <w:szCs w:val="20"/>
          <w:lang w:val="en-GB"/>
        </w:rPr>
        <w:t>of hospitality establishments</w:t>
      </w:r>
      <w:r w:rsidR="00217E05" w:rsidRPr="001A7DCD">
        <w:rPr>
          <w:rStyle w:val="normaltextrun"/>
          <w:rFonts w:ascii="Arial" w:eastAsiaTheme="majorEastAsia" w:hAnsi="Arial" w:cs="Arial"/>
          <w:sz w:val="20"/>
          <w:szCs w:val="20"/>
          <w:lang w:val="en-GB"/>
        </w:rPr>
        <w:t xml:space="preserve"> </w:t>
      </w:r>
      <w:r w:rsidR="00A82F63">
        <w:rPr>
          <w:rStyle w:val="normaltextrun"/>
          <w:rFonts w:ascii="Arial" w:eastAsiaTheme="majorEastAsia" w:hAnsi="Arial" w:cs="Arial"/>
          <w:sz w:val="20"/>
          <w:szCs w:val="20"/>
          <w:lang w:val="en-GB"/>
        </w:rPr>
        <w:t xml:space="preserve">for accommodation </w:t>
      </w:r>
      <w:r w:rsidR="004B247E">
        <w:rPr>
          <w:rStyle w:val="normaltextrun"/>
          <w:rFonts w:ascii="Arial" w:eastAsiaTheme="majorEastAsia" w:hAnsi="Arial" w:cs="Arial"/>
          <w:sz w:val="20"/>
          <w:szCs w:val="20"/>
          <w:lang w:val="en-GB"/>
        </w:rPr>
        <w:t xml:space="preserve">relates to the facilities </w:t>
      </w:r>
      <w:r w:rsidR="002A0F71">
        <w:rPr>
          <w:rStyle w:val="normaltextrun"/>
          <w:rFonts w:ascii="Arial" w:eastAsiaTheme="majorEastAsia" w:hAnsi="Arial" w:cs="Arial"/>
          <w:sz w:val="20"/>
          <w:szCs w:val="20"/>
          <w:lang w:val="en-GB"/>
        </w:rPr>
        <w:t>in the function of tourist consumption that contribut</w:t>
      </w:r>
      <w:r w:rsidR="00C85A9A">
        <w:rPr>
          <w:rStyle w:val="normaltextrun"/>
          <w:rFonts w:ascii="Arial" w:eastAsiaTheme="majorEastAsia" w:hAnsi="Arial" w:cs="Arial"/>
          <w:sz w:val="20"/>
          <w:szCs w:val="20"/>
          <w:lang w:val="en-GB"/>
        </w:rPr>
        <w:t xml:space="preserve">es to </w:t>
      </w:r>
      <w:r w:rsidR="001B3FE9">
        <w:rPr>
          <w:rStyle w:val="normaltextrun"/>
          <w:rFonts w:ascii="Arial" w:eastAsiaTheme="majorEastAsia" w:hAnsi="Arial" w:cs="Arial"/>
          <w:sz w:val="20"/>
          <w:szCs w:val="20"/>
          <w:lang w:val="en-GB"/>
        </w:rPr>
        <w:t>year-round operation</w:t>
      </w:r>
      <w:r w:rsidR="00217E05" w:rsidRPr="001A7DCD">
        <w:rPr>
          <w:rStyle w:val="normaltextrun"/>
          <w:rFonts w:ascii="Arial" w:eastAsiaTheme="majorEastAsia" w:hAnsi="Arial" w:cs="Arial"/>
          <w:sz w:val="20"/>
          <w:szCs w:val="20"/>
          <w:lang w:val="en-GB"/>
        </w:rPr>
        <w:t xml:space="preserve">, </w:t>
      </w:r>
      <w:r w:rsidR="009F23A5">
        <w:rPr>
          <w:rStyle w:val="normaltextrun"/>
          <w:rFonts w:ascii="Arial" w:eastAsiaTheme="majorEastAsia" w:hAnsi="Arial" w:cs="Arial"/>
          <w:sz w:val="20"/>
          <w:szCs w:val="20"/>
          <w:lang w:val="en-GB"/>
        </w:rPr>
        <w:t>variety of offer</w:t>
      </w:r>
      <w:r w:rsidR="0023081C">
        <w:rPr>
          <w:rStyle w:val="normaltextrun"/>
          <w:rFonts w:ascii="Arial" w:eastAsiaTheme="majorEastAsia" w:hAnsi="Arial" w:cs="Arial"/>
          <w:sz w:val="20"/>
          <w:szCs w:val="20"/>
          <w:lang w:val="en-GB"/>
        </w:rPr>
        <w:t xml:space="preserve"> and positioning</w:t>
      </w:r>
      <w:r w:rsidR="00217E05" w:rsidRPr="001A7DCD">
        <w:rPr>
          <w:rStyle w:val="normaltextrun"/>
          <w:rFonts w:ascii="Arial" w:eastAsiaTheme="majorEastAsia" w:hAnsi="Arial" w:cs="Arial"/>
          <w:sz w:val="20"/>
          <w:szCs w:val="20"/>
          <w:lang w:val="en-GB"/>
        </w:rPr>
        <w:t xml:space="preserve"> </w:t>
      </w:r>
      <w:r w:rsidR="0023081C">
        <w:rPr>
          <w:rStyle w:val="normaltextrun"/>
          <w:rFonts w:ascii="Arial" w:eastAsiaTheme="majorEastAsia" w:hAnsi="Arial" w:cs="Arial"/>
          <w:sz w:val="20"/>
          <w:szCs w:val="20"/>
          <w:lang w:val="en-GB"/>
        </w:rPr>
        <w:t>in accordance with demand and trends on the tourist market</w:t>
      </w:r>
      <w:r w:rsidR="00217E05" w:rsidRPr="001A7DCD">
        <w:rPr>
          <w:rStyle w:val="normaltextrun"/>
          <w:rFonts w:ascii="Arial" w:eastAsiaTheme="majorEastAsia" w:hAnsi="Arial" w:cs="Arial"/>
          <w:sz w:val="20"/>
          <w:szCs w:val="20"/>
          <w:lang w:val="en-GB"/>
        </w:rPr>
        <w:t xml:space="preserve">, </w:t>
      </w:r>
      <w:r w:rsidR="0023081C">
        <w:rPr>
          <w:rStyle w:val="normaltextrun"/>
          <w:rFonts w:ascii="Arial" w:eastAsiaTheme="majorEastAsia" w:hAnsi="Arial" w:cs="Arial"/>
          <w:sz w:val="20"/>
          <w:szCs w:val="20"/>
          <w:lang w:val="en-GB"/>
        </w:rPr>
        <w:t>particularly</w:t>
      </w:r>
      <w:r w:rsidR="004E0160">
        <w:rPr>
          <w:rStyle w:val="normaltextrun"/>
          <w:rFonts w:ascii="Arial" w:eastAsiaTheme="majorEastAsia" w:hAnsi="Arial" w:cs="Arial"/>
          <w:sz w:val="20"/>
          <w:szCs w:val="20"/>
          <w:lang w:val="en-GB"/>
        </w:rPr>
        <w:t xml:space="preserve"> in </w:t>
      </w:r>
      <w:r w:rsidR="00DC1AD8">
        <w:rPr>
          <w:rStyle w:val="normaltextrun"/>
          <w:rFonts w:ascii="Arial" w:eastAsiaTheme="majorEastAsia" w:hAnsi="Arial" w:cs="Arial"/>
          <w:sz w:val="20"/>
          <w:szCs w:val="20"/>
          <w:lang w:val="en-GB"/>
        </w:rPr>
        <w:t xml:space="preserve">the following tourism </w:t>
      </w:r>
      <w:r w:rsidR="004E0160">
        <w:rPr>
          <w:rStyle w:val="normaltextrun"/>
          <w:rFonts w:ascii="Arial" w:eastAsiaTheme="majorEastAsia" w:hAnsi="Arial" w:cs="Arial"/>
          <w:sz w:val="20"/>
          <w:szCs w:val="20"/>
          <w:lang w:val="en-GB"/>
        </w:rPr>
        <w:t>niches</w:t>
      </w:r>
      <w:r w:rsidR="00DC1AD8">
        <w:rPr>
          <w:rStyle w:val="normaltextrun"/>
          <w:rFonts w:ascii="Arial" w:eastAsiaTheme="majorEastAsia" w:hAnsi="Arial" w:cs="Arial"/>
          <w:sz w:val="20"/>
          <w:szCs w:val="20"/>
          <w:lang w:val="en-GB"/>
        </w:rPr>
        <w:t>:</w:t>
      </w:r>
      <w:r w:rsidR="004E0160">
        <w:rPr>
          <w:rStyle w:val="normaltextrun"/>
          <w:rFonts w:ascii="Arial" w:eastAsiaTheme="majorEastAsia" w:hAnsi="Arial" w:cs="Arial"/>
          <w:sz w:val="20"/>
          <w:szCs w:val="20"/>
          <w:lang w:val="en-GB"/>
        </w:rPr>
        <w:t xml:space="preserve">  health, cultur</w:t>
      </w:r>
      <w:r w:rsidR="001602A0">
        <w:rPr>
          <w:rStyle w:val="normaltextrun"/>
          <w:rFonts w:ascii="Arial" w:eastAsiaTheme="majorEastAsia" w:hAnsi="Arial" w:cs="Arial"/>
          <w:sz w:val="20"/>
          <w:szCs w:val="20"/>
          <w:lang w:val="en-GB"/>
        </w:rPr>
        <w:t>e</w:t>
      </w:r>
      <w:r w:rsidR="00217E05" w:rsidRPr="001A7DCD">
        <w:rPr>
          <w:rStyle w:val="normaltextrun"/>
          <w:rFonts w:ascii="Arial" w:eastAsiaTheme="majorEastAsia" w:hAnsi="Arial" w:cs="Arial"/>
          <w:sz w:val="20"/>
          <w:szCs w:val="20"/>
          <w:lang w:val="en-GB"/>
        </w:rPr>
        <w:t>,</w:t>
      </w:r>
      <w:r w:rsidR="00F54A67">
        <w:rPr>
          <w:rStyle w:val="normaltextrun"/>
          <w:rFonts w:ascii="Arial" w:eastAsiaTheme="majorEastAsia" w:hAnsi="Arial" w:cs="Arial"/>
          <w:sz w:val="20"/>
          <w:szCs w:val="20"/>
          <w:lang w:val="en-GB"/>
        </w:rPr>
        <w:t xml:space="preserve"> </w:t>
      </w:r>
      <w:r w:rsidR="00D104A2">
        <w:rPr>
          <w:rStyle w:val="normaltextrun"/>
          <w:rFonts w:ascii="Arial" w:eastAsiaTheme="majorEastAsia" w:hAnsi="Arial" w:cs="Arial"/>
          <w:sz w:val="20"/>
          <w:szCs w:val="20"/>
          <w:lang w:val="en-GB"/>
        </w:rPr>
        <w:t>o</w:t>
      </w:r>
      <w:r w:rsidR="00217E05" w:rsidRPr="001A7DCD">
        <w:rPr>
          <w:rStyle w:val="normaltextrun"/>
          <w:rFonts w:ascii="Arial" w:eastAsiaTheme="majorEastAsia" w:hAnsi="Arial" w:cs="Arial"/>
          <w:sz w:val="20"/>
          <w:szCs w:val="20"/>
          <w:lang w:val="en-GB"/>
        </w:rPr>
        <w:t>eno</w:t>
      </w:r>
      <w:r w:rsidR="00A62EFF">
        <w:rPr>
          <w:rStyle w:val="normaltextrun"/>
          <w:rFonts w:ascii="Arial" w:eastAsiaTheme="majorEastAsia" w:hAnsi="Arial" w:cs="Arial"/>
          <w:sz w:val="20"/>
          <w:szCs w:val="20"/>
          <w:lang w:val="en-GB"/>
        </w:rPr>
        <w:t>log</w:t>
      </w:r>
      <w:r w:rsidR="001602A0">
        <w:rPr>
          <w:rStyle w:val="normaltextrun"/>
          <w:rFonts w:ascii="Arial" w:eastAsiaTheme="majorEastAsia" w:hAnsi="Arial" w:cs="Arial"/>
          <w:sz w:val="20"/>
          <w:szCs w:val="20"/>
          <w:lang w:val="en-GB"/>
        </w:rPr>
        <w:t>y and</w:t>
      </w:r>
      <w:r w:rsidR="00A62EFF">
        <w:rPr>
          <w:rStyle w:val="normaltextrun"/>
          <w:rFonts w:ascii="Arial" w:eastAsiaTheme="majorEastAsia" w:hAnsi="Arial" w:cs="Arial"/>
          <w:sz w:val="20"/>
          <w:szCs w:val="20"/>
          <w:lang w:val="en-GB"/>
        </w:rPr>
        <w:t xml:space="preserve"> gastronom</w:t>
      </w:r>
      <w:r w:rsidR="00D104A2">
        <w:rPr>
          <w:rStyle w:val="normaltextrun"/>
          <w:rFonts w:ascii="Arial" w:eastAsiaTheme="majorEastAsia" w:hAnsi="Arial" w:cs="Arial"/>
          <w:sz w:val="20"/>
          <w:szCs w:val="20"/>
          <w:lang w:val="en-GB"/>
        </w:rPr>
        <w:t>y</w:t>
      </w:r>
      <w:r w:rsidR="00217E05" w:rsidRPr="001A7DCD">
        <w:rPr>
          <w:rStyle w:val="normaltextrun"/>
          <w:rFonts w:ascii="Arial" w:eastAsiaTheme="majorEastAsia" w:hAnsi="Arial" w:cs="Arial"/>
          <w:sz w:val="20"/>
          <w:szCs w:val="20"/>
          <w:lang w:val="en-GB"/>
        </w:rPr>
        <w:t xml:space="preserve">, </w:t>
      </w:r>
      <w:r w:rsidR="00DC1F38">
        <w:rPr>
          <w:rStyle w:val="normaltextrun"/>
          <w:rFonts w:ascii="Arial" w:eastAsiaTheme="majorEastAsia" w:hAnsi="Arial" w:cs="Arial"/>
          <w:sz w:val="20"/>
          <w:szCs w:val="20"/>
          <w:lang w:val="en-GB"/>
        </w:rPr>
        <w:t>business</w:t>
      </w:r>
      <w:r w:rsidR="00217E05" w:rsidRPr="001A7DCD">
        <w:rPr>
          <w:rStyle w:val="normaltextrun"/>
          <w:rFonts w:ascii="Arial" w:eastAsiaTheme="majorEastAsia" w:hAnsi="Arial" w:cs="Arial"/>
          <w:sz w:val="20"/>
          <w:szCs w:val="20"/>
          <w:lang w:val="en-GB"/>
        </w:rPr>
        <w:t xml:space="preserve"> (</w:t>
      </w:r>
      <w:r w:rsidR="00DC1F38">
        <w:rPr>
          <w:rStyle w:val="normaltextrun"/>
          <w:rFonts w:ascii="Arial" w:eastAsiaTheme="majorEastAsia" w:hAnsi="Arial" w:cs="Arial"/>
          <w:sz w:val="20"/>
          <w:szCs w:val="20"/>
          <w:lang w:val="en-GB"/>
        </w:rPr>
        <w:t>including digital nomads</w:t>
      </w:r>
      <w:r w:rsidR="00217E05" w:rsidRPr="001A7DCD">
        <w:rPr>
          <w:rStyle w:val="normaltextrun"/>
          <w:rFonts w:ascii="Arial" w:eastAsiaTheme="majorEastAsia" w:hAnsi="Arial" w:cs="Arial"/>
          <w:sz w:val="20"/>
          <w:szCs w:val="20"/>
          <w:lang w:val="en-GB"/>
        </w:rPr>
        <w:t>), sports</w:t>
      </w:r>
      <w:r w:rsidR="00E34600">
        <w:rPr>
          <w:rStyle w:val="normaltextrun"/>
          <w:rFonts w:ascii="Arial" w:eastAsiaTheme="majorEastAsia" w:hAnsi="Arial" w:cs="Arial"/>
          <w:sz w:val="20"/>
          <w:szCs w:val="20"/>
          <w:lang w:val="en-GB"/>
        </w:rPr>
        <w:t xml:space="preserve"> and recreational</w:t>
      </w:r>
      <w:r w:rsidR="00D104A2">
        <w:rPr>
          <w:rStyle w:val="normaltextrun"/>
          <w:rFonts w:ascii="Arial" w:eastAsiaTheme="majorEastAsia" w:hAnsi="Arial" w:cs="Arial"/>
          <w:sz w:val="20"/>
          <w:szCs w:val="20"/>
          <w:lang w:val="en-GB"/>
        </w:rPr>
        <w:t xml:space="preserve"> tourism</w:t>
      </w:r>
      <w:r w:rsidR="00217E05" w:rsidRPr="001A7DCD">
        <w:rPr>
          <w:rStyle w:val="normaltextrun"/>
          <w:rFonts w:ascii="Arial" w:eastAsiaTheme="majorEastAsia" w:hAnsi="Arial" w:cs="Arial"/>
          <w:sz w:val="20"/>
          <w:szCs w:val="20"/>
          <w:lang w:val="en-GB"/>
        </w:rPr>
        <w:t>, a</w:t>
      </w:r>
      <w:r w:rsidR="00E34600">
        <w:rPr>
          <w:rStyle w:val="normaltextrun"/>
          <w:rFonts w:ascii="Arial" w:eastAsiaTheme="majorEastAsia" w:hAnsi="Arial" w:cs="Arial"/>
          <w:sz w:val="20"/>
          <w:szCs w:val="20"/>
          <w:lang w:val="en-GB"/>
        </w:rPr>
        <w:t>ctive</w:t>
      </w:r>
      <w:r w:rsidR="00C64126">
        <w:rPr>
          <w:rStyle w:val="normaltextrun"/>
          <w:rFonts w:ascii="Arial" w:eastAsiaTheme="majorEastAsia" w:hAnsi="Arial" w:cs="Arial"/>
          <w:sz w:val="20"/>
          <w:szCs w:val="20"/>
          <w:lang w:val="en-GB"/>
        </w:rPr>
        <w:t xml:space="preserve"> tourism</w:t>
      </w:r>
      <w:r w:rsidR="00217E05" w:rsidRPr="001A7DCD">
        <w:rPr>
          <w:rStyle w:val="normaltextrun"/>
          <w:rFonts w:ascii="Arial" w:eastAsiaTheme="majorEastAsia" w:hAnsi="Arial" w:cs="Arial"/>
          <w:sz w:val="20"/>
          <w:szCs w:val="20"/>
          <w:lang w:val="en-GB"/>
        </w:rPr>
        <w:t xml:space="preserve">, </w:t>
      </w:r>
      <w:r w:rsidR="00F54A67">
        <w:rPr>
          <w:rStyle w:val="normaltextrun"/>
          <w:rFonts w:ascii="Arial" w:eastAsiaTheme="majorEastAsia" w:hAnsi="Arial" w:cs="Arial"/>
          <w:sz w:val="20"/>
          <w:szCs w:val="20"/>
          <w:lang w:val="en-GB"/>
        </w:rPr>
        <w:t>ecotourism and other market niches</w:t>
      </w:r>
      <w:r w:rsidR="00217E05" w:rsidRPr="001A7DCD">
        <w:rPr>
          <w:rStyle w:val="normaltextrun"/>
          <w:rFonts w:ascii="Arial" w:eastAsiaTheme="majorEastAsia" w:hAnsi="Arial" w:cs="Arial"/>
          <w:sz w:val="20"/>
          <w:szCs w:val="20"/>
          <w:lang w:val="en-GB"/>
        </w:rPr>
        <w:t xml:space="preserve">. </w:t>
      </w:r>
      <w:r w:rsidR="007B2A7F">
        <w:rPr>
          <w:rStyle w:val="normaltextrun"/>
          <w:rFonts w:ascii="Arial" w:eastAsiaTheme="majorEastAsia" w:hAnsi="Arial" w:cs="Arial"/>
          <w:sz w:val="20"/>
          <w:szCs w:val="20"/>
          <w:lang w:val="en-GB"/>
        </w:rPr>
        <w:t xml:space="preserve">Additional or optional facilities are created </w:t>
      </w:r>
      <w:r w:rsidR="00020FBA">
        <w:rPr>
          <w:rStyle w:val="normaltextrun"/>
          <w:rFonts w:ascii="Arial" w:eastAsiaTheme="majorEastAsia" w:hAnsi="Arial" w:cs="Arial"/>
          <w:sz w:val="20"/>
          <w:szCs w:val="20"/>
          <w:lang w:val="en-GB"/>
        </w:rPr>
        <w:t>with the aim of providing other services as part of</w:t>
      </w:r>
      <w:r w:rsidR="00435665">
        <w:rPr>
          <w:rStyle w:val="normaltextrun"/>
          <w:rFonts w:ascii="Arial" w:eastAsiaTheme="majorEastAsia" w:hAnsi="Arial" w:cs="Arial"/>
          <w:sz w:val="20"/>
          <w:szCs w:val="20"/>
          <w:lang w:val="en-GB"/>
        </w:rPr>
        <w:t xml:space="preserve"> a hospitality establishment for accommodation </w:t>
      </w:r>
      <w:r w:rsidR="0058122A">
        <w:rPr>
          <w:rStyle w:val="normaltextrun"/>
          <w:rFonts w:ascii="Arial" w:eastAsiaTheme="majorEastAsia" w:hAnsi="Arial" w:cs="Arial"/>
          <w:sz w:val="20"/>
          <w:szCs w:val="20"/>
          <w:lang w:val="en-GB"/>
        </w:rPr>
        <w:t xml:space="preserve">in the function of tourist consumption in accordance with the secondary legislation </w:t>
      </w:r>
      <w:r w:rsidR="001A1B57">
        <w:rPr>
          <w:rStyle w:val="normaltextrun"/>
          <w:rFonts w:ascii="Arial" w:eastAsiaTheme="majorEastAsia" w:hAnsi="Arial" w:cs="Arial"/>
          <w:sz w:val="20"/>
          <w:szCs w:val="20"/>
          <w:lang w:val="en-GB"/>
        </w:rPr>
        <w:t>for the categorisation of</w:t>
      </w:r>
      <w:r w:rsidR="00217E05" w:rsidRPr="001A7DCD">
        <w:rPr>
          <w:rStyle w:val="normaltextrun"/>
          <w:rFonts w:ascii="Arial" w:eastAsiaTheme="majorEastAsia" w:hAnsi="Arial" w:cs="Arial"/>
          <w:sz w:val="20"/>
          <w:szCs w:val="20"/>
          <w:lang w:val="en-GB"/>
        </w:rPr>
        <w:t xml:space="preserve"> </w:t>
      </w:r>
      <w:r w:rsidR="001A1B57">
        <w:rPr>
          <w:rStyle w:val="normaltextrun"/>
          <w:rFonts w:ascii="Arial" w:eastAsiaTheme="majorEastAsia" w:hAnsi="Arial" w:cs="Arial"/>
          <w:sz w:val="20"/>
          <w:szCs w:val="20"/>
          <w:lang w:val="en-GB"/>
        </w:rPr>
        <w:t xml:space="preserve">hospitality establishments from </w:t>
      </w:r>
      <w:r w:rsidR="00217E05" w:rsidRPr="001A7DCD">
        <w:rPr>
          <w:rStyle w:val="normaltextrun"/>
          <w:rFonts w:ascii="Arial" w:eastAsiaTheme="majorEastAsia" w:hAnsi="Arial" w:cs="Arial"/>
          <w:sz w:val="20"/>
          <w:szCs w:val="20"/>
          <w:lang w:val="en-GB"/>
        </w:rPr>
        <w:t>“Hotel</w:t>
      </w:r>
      <w:r w:rsidR="001A1B57">
        <w:rPr>
          <w:rStyle w:val="normaltextrun"/>
          <w:rFonts w:ascii="Arial" w:eastAsiaTheme="majorEastAsia" w:hAnsi="Arial" w:cs="Arial"/>
          <w:sz w:val="20"/>
          <w:szCs w:val="20"/>
          <w:lang w:val="en-GB"/>
        </w:rPr>
        <w:t>s</w:t>
      </w:r>
      <w:r w:rsidR="00217E05" w:rsidRPr="001A7DCD">
        <w:rPr>
          <w:rStyle w:val="normaltextrun"/>
          <w:rFonts w:ascii="Arial" w:eastAsiaTheme="majorEastAsia" w:hAnsi="Arial" w:cs="Arial"/>
          <w:sz w:val="20"/>
          <w:szCs w:val="20"/>
          <w:lang w:val="en-GB"/>
        </w:rPr>
        <w:t xml:space="preserve">” </w:t>
      </w:r>
      <w:r w:rsidR="001A1B57">
        <w:rPr>
          <w:rStyle w:val="normaltextrun"/>
          <w:rFonts w:ascii="Arial" w:eastAsiaTheme="majorEastAsia" w:hAnsi="Arial" w:cs="Arial"/>
          <w:sz w:val="20"/>
          <w:szCs w:val="20"/>
          <w:lang w:val="en-GB"/>
        </w:rPr>
        <w:t>and from</w:t>
      </w:r>
      <w:r w:rsidR="00217E05" w:rsidRPr="001A7DCD">
        <w:rPr>
          <w:rStyle w:val="normaltextrun"/>
          <w:rFonts w:ascii="Arial" w:eastAsiaTheme="majorEastAsia" w:hAnsi="Arial" w:cs="Arial"/>
          <w:sz w:val="20"/>
          <w:szCs w:val="20"/>
          <w:lang w:val="en-GB"/>
        </w:rPr>
        <w:t xml:space="preserve"> “</w:t>
      </w:r>
      <w:r w:rsidR="001A1B57">
        <w:rPr>
          <w:rStyle w:val="normaltextrun"/>
          <w:rFonts w:ascii="Arial" w:eastAsiaTheme="majorEastAsia" w:hAnsi="Arial" w:cs="Arial"/>
          <w:sz w:val="20"/>
          <w:szCs w:val="20"/>
          <w:lang w:val="en-GB"/>
        </w:rPr>
        <w:t>Camping sites</w:t>
      </w:r>
      <w:r w:rsidR="00217E05" w:rsidRPr="001A7DCD">
        <w:rPr>
          <w:rStyle w:val="normaltextrun"/>
          <w:rFonts w:ascii="Arial" w:eastAsiaTheme="majorEastAsia" w:hAnsi="Arial" w:cs="Arial"/>
          <w:sz w:val="20"/>
          <w:szCs w:val="20"/>
          <w:lang w:val="en-GB"/>
        </w:rPr>
        <w:t>”</w:t>
      </w:r>
      <w:r w:rsidR="001A1B57">
        <w:rPr>
          <w:rStyle w:val="normaltextrun"/>
          <w:rFonts w:ascii="Arial" w:eastAsiaTheme="majorEastAsia" w:hAnsi="Arial" w:cs="Arial"/>
          <w:sz w:val="20"/>
          <w:szCs w:val="20"/>
          <w:lang w:val="en-GB"/>
        </w:rPr>
        <w:t xml:space="preserve"> group</w:t>
      </w:r>
      <w:r w:rsidR="00217E05" w:rsidRPr="001A7DCD">
        <w:rPr>
          <w:rStyle w:val="normaltextrun"/>
          <w:rFonts w:ascii="Arial" w:eastAsiaTheme="majorEastAsia" w:hAnsi="Arial" w:cs="Arial"/>
          <w:sz w:val="20"/>
          <w:szCs w:val="20"/>
          <w:lang w:val="en-GB"/>
        </w:rPr>
        <w:t xml:space="preserve">, </w:t>
      </w:r>
      <w:r w:rsidR="001A1B57">
        <w:rPr>
          <w:rStyle w:val="normaltextrun"/>
          <w:rFonts w:ascii="Arial" w:eastAsiaTheme="majorEastAsia" w:hAnsi="Arial" w:cs="Arial"/>
          <w:sz w:val="20"/>
          <w:szCs w:val="20"/>
          <w:lang w:val="en-GB"/>
        </w:rPr>
        <w:t>including</w:t>
      </w:r>
      <w:r w:rsidR="00AA7F3B">
        <w:rPr>
          <w:rStyle w:val="normaltextrun"/>
          <w:rFonts w:ascii="Arial" w:eastAsiaTheme="majorEastAsia" w:hAnsi="Arial" w:cs="Arial"/>
          <w:sz w:val="20"/>
          <w:szCs w:val="20"/>
          <w:lang w:val="en-GB"/>
        </w:rPr>
        <w:t xml:space="preserve"> additional facilities that relate to label quality</w:t>
      </w:r>
      <w:r w:rsidR="00217E05" w:rsidRPr="001A7DCD">
        <w:rPr>
          <w:rStyle w:val="normaltextrun"/>
          <w:rFonts w:ascii="Arial" w:eastAsiaTheme="majorEastAsia" w:hAnsi="Arial" w:cs="Arial"/>
          <w:sz w:val="20"/>
          <w:szCs w:val="20"/>
          <w:lang w:val="en-GB"/>
        </w:rPr>
        <w:t>.</w:t>
      </w:r>
    </w:p>
    <w:p w14:paraId="6E166248" w14:textId="77777777" w:rsidR="002E3967" w:rsidRPr="001A7DCD" w:rsidRDefault="002E3967" w:rsidP="00EE3B71">
      <w:pPr>
        <w:widowControl w:val="0"/>
        <w:tabs>
          <w:tab w:val="left" w:pos="879"/>
          <w:tab w:val="left" w:pos="880"/>
        </w:tabs>
        <w:autoSpaceDE w:val="0"/>
        <w:autoSpaceDN w:val="0"/>
        <w:spacing w:before="1" w:after="0" w:line="276" w:lineRule="auto"/>
        <w:jc w:val="both"/>
        <w:rPr>
          <w:rFonts w:ascii="Arial" w:hAnsi="Arial" w:cs="Arial"/>
          <w:b/>
          <w:bCs/>
          <w:sz w:val="20"/>
          <w:szCs w:val="20"/>
          <w:lang w:val="en-GB"/>
        </w:rPr>
      </w:pPr>
    </w:p>
    <w:p w14:paraId="5C911442" w14:textId="7F4B55F5" w:rsidR="40B4E15E" w:rsidRPr="001A7DCD" w:rsidRDefault="40B4E15E" w:rsidP="40B4E15E">
      <w:pPr>
        <w:pStyle w:val="Odlomakpopisa"/>
        <w:widowControl w:val="0"/>
        <w:tabs>
          <w:tab w:val="left" w:pos="879"/>
          <w:tab w:val="left" w:pos="880"/>
        </w:tabs>
        <w:spacing w:before="1" w:after="0" w:line="276" w:lineRule="auto"/>
        <w:jc w:val="both"/>
        <w:rPr>
          <w:rFonts w:ascii="Arial" w:hAnsi="Arial" w:cs="Arial"/>
          <w:b/>
          <w:bCs/>
          <w:sz w:val="20"/>
          <w:szCs w:val="20"/>
          <w:lang w:val="en-GB"/>
        </w:rPr>
      </w:pPr>
    </w:p>
    <w:p w14:paraId="781C1FD9" w14:textId="2AC93A8D" w:rsidR="00CE58F0" w:rsidRPr="001A7DCD" w:rsidRDefault="00195FD8" w:rsidP="000D1EAC">
      <w:pPr>
        <w:pStyle w:val="Odlomakpopisa"/>
        <w:widowControl w:val="0"/>
        <w:numPr>
          <w:ilvl w:val="0"/>
          <w:numId w:val="32"/>
        </w:numPr>
        <w:tabs>
          <w:tab w:val="left" w:pos="879"/>
          <w:tab w:val="left" w:pos="880"/>
        </w:tabs>
        <w:autoSpaceDE w:val="0"/>
        <w:autoSpaceDN w:val="0"/>
        <w:spacing w:before="1" w:after="0" w:line="276" w:lineRule="auto"/>
        <w:jc w:val="both"/>
        <w:rPr>
          <w:rFonts w:ascii="Arial" w:hAnsi="Arial" w:cs="Arial"/>
          <w:b/>
          <w:bCs/>
          <w:sz w:val="20"/>
          <w:szCs w:val="20"/>
          <w:lang w:val="en-GB"/>
        </w:rPr>
      </w:pPr>
      <w:r>
        <w:rPr>
          <w:rFonts w:ascii="Arial" w:hAnsi="Arial" w:cs="Arial"/>
          <w:b/>
          <w:bCs/>
          <w:sz w:val="20"/>
          <w:szCs w:val="20"/>
          <w:lang w:val="en-GB"/>
        </w:rPr>
        <w:t>Ineligible activities and borrowers</w:t>
      </w:r>
    </w:p>
    <w:p w14:paraId="47FB8694" w14:textId="77777777" w:rsidR="006D327C" w:rsidRPr="001A7DCD" w:rsidRDefault="006D327C" w:rsidP="000D1EAC">
      <w:pPr>
        <w:widowControl w:val="0"/>
        <w:tabs>
          <w:tab w:val="left" w:pos="879"/>
          <w:tab w:val="left" w:pos="880"/>
        </w:tabs>
        <w:autoSpaceDE w:val="0"/>
        <w:autoSpaceDN w:val="0"/>
        <w:spacing w:before="1" w:after="0" w:line="276" w:lineRule="auto"/>
        <w:jc w:val="both"/>
        <w:rPr>
          <w:rFonts w:ascii="Arial" w:hAnsi="Arial" w:cs="Arial"/>
          <w:b/>
          <w:bCs/>
          <w:sz w:val="20"/>
          <w:szCs w:val="20"/>
          <w:lang w:val="en-GB"/>
        </w:rPr>
      </w:pPr>
    </w:p>
    <w:p w14:paraId="23219EA2" w14:textId="20A0151A" w:rsidR="007D3263" w:rsidRPr="001A7DCD" w:rsidRDefault="00DB2649" w:rsidP="000D1EAC">
      <w:pPr>
        <w:widowControl w:val="0"/>
        <w:tabs>
          <w:tab w:val="left" w:pos="879"/>
          <w:tab w:val="left" w:pos="880"/>
        </w:tabs>
        <w:autoSpaceDE w:val="0"/>
        <w:autoSpaceDN w:val="0"/>
        <w:spacing w:before="1" w:after="0" w:line="276" w:lineRule="auto"/>
        <w:jc w:val="both"/>
        <w:rPr>
          <w:rFonts w:ascii="Arial" w:hAnsi="Arial" w:cs="Arial"/>
          <w:b/>
          <w:bCs/>
          <w:sz w:val="20"/>
          <w:szCs w:val="20"/>
          <w:lang w:val="en-GB"/>
        </w:rPr>
      </w:pPr>
      <w:r w:rsidRPr="00DB2649">
        <w:rPr>
          <w:rFonts w:ascii="Arial" w:hAnsi="Arial" w:cs="Arial"/>
          <w:sz w:val="20"/>
          <w:szCs w:val="20"/>
          <w:lang w:val="en-GB"/>
        </w:rPr>
        <w:t>Ineligible activities include the activities, purposes, borrowers and types of</w:t>
      </w:r>
      <w:r>
        <w:rPr>
          <w:rFonts w:ascii="Arial" w:hAnsi="Arial" w:cs="Arial"/>
          <w:sz w:val="20"/>
          <w:szCs w:val="20"/>
          <w:lang w:val="en-GB"/>
        </w:rPr>
        <w:t xml:space="preserve"> investments</w:t>
      </w:r>
      <w:r w:rsidR="00A0722A">
        <w:rPr>
          <w:rFonts w:ascii="Arial" w:hAnsi="Arial" w:cs="Arial"/>
          <w:sz w:val="20"/>
          <w:szCs w:val="20"/>
          <w:lang w:val="en-GB"/>
        </w:rPr>
        <w:t xml:space="preserve"> that are not eligible for financing under the framework of the Sustainable Tourism </w:t>
      </w:r>
      <w:r w:rsidR="003A6BFB">
        <w:rPr>
          <w:rFonts w:ascii="Arial" w:hAnsi="Arial" w:cs="Arial"/>
          <w:sz w:val="20"/>
          <w:szCs w:val="20"/>
          <w:lang w:val="en-GB"/>
        </w:rPr>
        <w:t>Loans Programme</w:t>
      </w:r>
      <w:r w:rsidR="00980629" w:rsidRPr="001A7DCD">
        <w:rPr>
          <w:rFonts w:ascii="Arial" w:hAnsi="Arial" w:cs="Arial"/>
          <w:sz w:val="20"/>
          <w:szCs w:val="20"/>
          <w:lang w:val="en-GB"/>
        </w:rPr>
        <w:t xml:space="preserve"> </w:t>
      </w:r>
      <w:r w:rsidR="007B5302">
        <w:rPr>
          <w:rFonts w:ascii="Arial" w:hAnsi="Arial" w:cs="Arial"/>
          <w:sz w:val="20"/>
          <w:szCs w:val="20"/>
          <w:lang w:val="en-GB"/>
        </w:rPr>
        <w:t>and the accompanying exemptions, if any</w:t>
      </w:r>
      <w:r w:rsidR="006D327C" w:rsidRPr="001A7DCD">
        <w:rPr>
          <w:rFonts w:ascii="Arial" w:hAnsi="Arial" w:cs="Arial"/>
          <w:sz w:val="20"/>
          <w:szCs w:val="20"/>
          <w:lang w:val="en-GB"/>
        </w:rPr>
        <w:t>:</w:t>
      </w:r>
    </w:p>
    <w:p w14:paraId="1782590B" w14:textId="77777777" w:rsidR="00980629" w:rsidRPr="001A7DCD" w:rsidRDefault="00980629" w:rsidP="000D1EAC">
      <w:pPr>
        <w:pStyle w:val="Odlomakpopisa"/>
        <w:widowControl w:val="0"/>
        <w:tabs>
          <w:tab w:val="left" w:pos="879"/>
          <w:tab w:val="left" w:pos="880"/>
        </w:tabs>
        <w:autoSpaceDE w:val="0"/>
        <w:autoSpaceDN w:val="0"/>
        <w:spacing w:before="1" w:after="0" w:line="276" w:lineRule="auto"/>
        <w:ind w:left="879"/>
        <w:contextualSpacing w:val="0"/>
        <w:jc w:val="both"/>
        <w:rPr>
          <w:rFonts w:ascii="Arial" w:eastAsia="Arial" w:hAnsi="Arial" w:cs="Arial"/>
          <w:kern w:val="0"/>
          <w:sz w:val="20"/>
          <w:szCs w:val="20"/>
          <w:lang w:val="en-GB"/>
          <w14:ligatures w14:val="none"/>
        </w:rPr>
      </w:pPr>
    </w:p>
    <w:p w14:paraId="406F239D" w14:textId="0D0C10E8" w:rsidR="003F4714" w:rsidRPr="001A7DCD" w:rsidRDefault="00181DF3" w:rsidP="000D1EAC">
      <w:pPr>
        <w:pStyle w:val="Odlomakpopisa"/>
        <w:widowControl w:val="0"/>
        <w:numPr>
          <w:ilvl w:val="0"/>
          <w:numId w:val="25"/>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Pr>
          <w:rFonts w:ascii="Arial" w:hAnsi="Arial" w:cs="Arial"/>
          <w:sz w:val="20"/>
          <w:szCs w:val="20"/>
          <w:lang w:val="en-GB"/>
        </w:rPr>
        <w:t>Entities in difficulties</w:t>
      </w:r>
    </w:p>
    <w:p w14:paraId="02B60AEA" w14:textId="6B1AF6C2" w:rsidR="003F4714" w:rsidRPr="001A7DCD" w:rsidRDefault="00181DF3" w:rsidP="000D1EAC">
      <w:pPr>
        <w:pStyle w:val="Odlomakpopisa"/>
        <w:widowControl w:val="0"/>
        <w:tabs>
          <w:tab w:val="left" w:pos="879"/>
          <w:tab w:val="left" w:pos="880"/>
        </w:tabs>
        <w:autoSpaceDE w:val="0"/>
        <w:autoSpaceDN w:val="0"/>
        <w:spacing w:before="1" w:after="0" w:line="276" w:lineRule="auto"/>
        <w:ind w:left="879"/>
        <w:contextualSpacing w:val="0"/>
        <w:jc w:val="both"/>
        <w:rPr>
          <w:rFonts w:ascii="Arial" w:hAnsi="Arial" w:cs="Arial"/>
          <w:sz w:val="20"/>
          <w:szCs w:val="20"/>
          <w:lang w:val="en-GB"/>
        </w:rPr>
      </w:pPr>
      <w:r>
        <w:rPr>
          <w:rFonts w:ascii="Arial" w:hAnsi="Arial" w:cs="Arial"/>
          <w:sz w:val="20"/>
          <w:szCs w:val="20"/>
          <w:lang w:val="en-GB"/>
        </w:rPr>
        <w:t>Entities belonging to the category</w:t>
      </w:r>
      <w:r w:rsidR="00481C72">
        <w:rPr>
          <w:rFonts w:ascii="Arial" w:hAnsi="Arial" w:cs="Arial"/>
          <w:sz w:val="20"/>
          <w:szCs w:val="20"/>
          <w:lang w:val="en-GB"/>
        </w:rPr>
        <w:t xml:space="preserve"> </w:t>
      </w:r>
      <w:r w:rsidR="00D503B4">
        <w:rPr>
          <w:rFonts w:ascii="Arial" w:hAnsi="Arial" w:cs="Arial"/>
          <w:sz w:val="20"/>
          <w:szCs w:val="20"/>
          <w:lang w:val="en-GB"/>
        </w:rPr>
        <w:t>of companies</w:t>
      </w:r>
      <w:r w:rsidR="008202FD">
        <w:rPr>
          <w:rFonts w:ascii="Arial" w:hAnsi="Arial" w:cs="Arial"/>
          <w:sz w:val="20"/>
          <w:szCs w:val="20"/>
          <w:lang w:val="en-GB"/>
        </w:rPr>
        <w:t xml:space="preserve"> in difficulties in accordance </w:t>
      </w:r>
      <w:r w:rsidR="008B0DAA">
        <w:rPr>
          <w:rFonts w:ascii="Arial" w:hAnsi="Arial" w:cs="Arial"/>
          <w:sz w:val="20"/>
          <w:szCs w:val="20"/>
          <w:lang w:val="en-GB"/>
        </w:rPr>
        <w:t>with provisions of Article</w:t>
      </w:r>
      <w:r w:rsidR="003F4714" w:rsidRPr="001A7DCD">
        <w:rPr>
          <w:rFonts w:ascii="Arial" w:hAnsi="Arial" w:cs="Arial"/>
          <w:sz w:val="20"/>
          <w:szCs w:val="20"/>
          <w:lang w:val="en-GB"/>
        </w:rPr>
        <w:t xml:space="preserve"> 2</w:t>
      </w:r>
      <w:r w:rsidR="008B0DAA">
        <w:rPr>
          <w:rFonts w:ascii="Arial" w:hAnsi="Arial" w:cs="Arial"/>
          <w:sz w:val="20"/>
          <w:szCs w:val="20"/>
          <w:lang w:val="en-GB"/>
        </w:rPr>
        <w:t xml:space="preserve"> item</w:t>
      </w:r>
      <w:r w:rsidR="003F4714" w:rsidRPr="001A7DCD">
        <w:rPr>
          <w:rFonts w:ascii="Arial" w:hAnsi="Arial" w:cs="Arial"/>
          <w:sz w:val="20"/>
          <w:szCs w:val="20"/>
          <w:lang w:val="en-GB"/>
        </w:rPr>
        <w:t xml:space="preserve"> 18</w:t>
      </w:r>
      <w:r w:rsidR="008B0DAA">
        <w:rPr>
          <w:rFonts w:ascii="Arial" w:hAnsi="Arial" w:cs="Arial"/>
          <w:sz w:val="20"/>
          <w:szCs w:val="20"/>
          <w:lang w:val="en-GB"/>
        </w:rPr>
        <w:t xml:space="preserve"> of the Commission </w:t>
      </w:r>
      <w:r w:rsidR="00BF2744">
        <w:rPr>
          <w:rFonts w:ascii="Arial" w:hAnsi="Arial" w:cs="Arial"/>
          <w:sz w:val="20"/>
          <w:szCs w:val="20"/>
          <w:lang w:val="en-GB"/>
        </w:rPr>
        <w:t>Regulation</w:t>
      </w:r>
      <w:r w:rsidR="003F4714" w:rsidRPr="001A7DCD">
        <w:rPr>
          <w:rFonts w:ascii="Arial" w:hAnsi="Arial" w:cs="Arial"/>
          <w:sz w:val="20"/>
          <w:szCs w:val="20"/>
          <w:lang w:val="en-GB"/>
        </w:rPr>
        <w:t xml:space="preserve"> (EU) </w:t>
      </w:r>
      <w:r w:rsidR="002B7D76">
        <w:rPr>
          <w:rFonts w:ascii="Arial" w:hAnsi="Arial" w:cs="Arial"/>
          <w:sz w:val="20"/>
          <w:szCs w:val="20"/>
          <w:lang w:val="en-GB"/>
        </w:rPr>
        <w:t>No</w:t>
      </w:r>
      <w:r w:rsidR="003F4714" w:rsidRPr="001A7DCD">
        <w:rPr>
          <w:rFonts w:ascii="Arial" w:hAnsi="Arial" w:cs="Arial"/>
          <w:sz w:val="20"/>
          <w:szCs w:val="20"/>
          <w:lang w:val="en-GB"/>
        </w:rPr>
        <w:t>. 651/2014 o</w:t>
      </w:r>
      <w:r w:rsidR="002B7D76">
        <w:rPr>
          <w:rFonts w:ascii="Arial" w:hAnsi="Arial" w:cs="Arial"/>
          <w:sz w:val="20"/>
          <w:szCs w:val="20"/>
          <w:lang w:val="en-GB"/>
        </w:rPr>
        <w:t>f</w:t>
      </w:r>
      <w:r w:rsidR="003F4714" w:rsidRPr="001A7DCD">
        <w:rPr>
          <w:rFonts w:ascii="Arial" w:hAnsi="Arial" w:cs="Arial"/>
          <w:sz w:val="20"/>
          <w:szCs w:val="20"/>
          <w:lang w:val="en-GB"/>
        </w:rPr>
        <w:t xml:space="preserve"> 17</w:t>
      </w:r>
      <w:r w:rsidR="002B7D76">
        <w:rPr>
          <w:rFonts w:ascii="Arial" w:hAnsi="Arial" w:cs="Arial"/>
          <w:sz w:val="20"/>
          <w:szCs w:val="20"/>
          <w:lang w:val="en-GB"/>
        </w:rPr>
        <w:t xml:space="preserve"> </w:t>
      </w:r>
      <w:r w:rsidR="000B640F">
        <w:rPr>
          <w:rFonts w:ascii="Arial" w:hAnsi="Arial" w:cs="Arial"/>
          <w:sz w:val="20"/>
          <w:szCs w:val="20"/>
          <w:lang w:val="en-GB"/>
        </w:rPr>
        <w:t>June</w:t>
      </w:r>
      <w:r w:rsidR="00AA0D87">
        <w:rPr>
          <w:rFonts w:ascii="Arial" w:hAnsi="Arial" w:cs="Arial"/>
          <w:sz w:val="20"/>
          <w:szCs w:val="20"/>
          <w:lang w:val="en-GB"/>
        </w:rPr>
        <w:t xml:space="preserve"> </w:t>
      </w:r>
      <w:r w:rsidR="003F4714" w:rsidRPr="001A7DCD">
        <w:rPr>
          <w:rFonts w:ascii="Arial" w:hAnsi="Arial" w:cs="Arial"/>
          <w:sz w:val="20"/>
          <w:szCs w:val="20"/>
          <w:lang w:val="en-GB"/>
        </w:rPr>
        <w:t>2014</w:t>
      </w:r>
      <w:r w:rsidR="00301F28">
        <w:rPr>
          <w:rFonts w:ascii="Arial" w:hAnsi="Arial" w:cs="Arial"/>
          <w:sz w:val="20"/>
          <w:szCs w:val="20"/>
          <w:lang w:val="en-GB"/>
        </w:rPr>
        <w:t xml:space="preserve"> declaring</w:t>
      </w:r>
      <w:r w:rsidR="003F4714" w:rsidRPr="001A7DCD">
        <w:rPr>
          <w:rFonts w:ascii="Arial" w:hAnsi="Arial" w:cs="Arial"/>
          <w:sz w:val="20"/>
          <w:szCs w:val="20"/>
          <w:lang w:val="en-GB"/>
        </w:rPr>
        <w:t xml:space="preserve"> </w:t>
      </w:r>
      <w:r w:rsidR="0097537C">
        <w:rPr>
          <w:rFonts w:ascii="Arial" w:hAnsi="Arial" w:cs="Arial"/>
          <w:sz w:val="20"/>
          <w:szCs w:val="20"/>
          <w:lang w:val="en-GB"/>
        </w:rPr>
        <w:t xml:space="preserve">certain categories of aid compatible with the internal market in application of Articles </w:t>
      </w:r>
      <w:r w:rsidR="003F4714" w:rsidRPr="001A7DCD">
        <w:rPr>
          <w:rFonts w:ascii="Arial" w:hAnsi="Arial" w:cs="Arial"/>
          <w:sz w:val="20"/>
          <w:szCs w:val="20"/>
          <w:lang w:val="en-GB"/>
        </w:rPr>
        <w:t>107</w:t>
      </w:r>
      <w:r w:rsidR="00712FF3">
        <w:rPr>
          <w:rFonts w:ascii="Arial" w:hAnsi="Arial" w:cs="Arial"/>
          <w:sz w:val="20"/>
          <w:szCs w:val="20"/>
          <w:lang w:val="en-GB"/>
        </w:rPr>
        <w:t xml:space="preserve"> and</w:t>
      </w:r>
      <w:r w:rsidR="003F4714" w:rsidRPr="001A7DCD">
        <w:rPr>
          <w:rFonts w:ascii="Arial" w:hAnsi="Arial" w:cs="Arial"/>
          <w:sz w:val="20"/>
          <w:szCs w:val="20"/>
          <w:lang w:val="en-GB"/>
        </w:rPr>
        <w:t xml:space="preserve">  108</w:t>
      </w:r>
      <w:r w:rsidR="005B3CAA">
        <w:rPr>
          <w:rFonts w:ascii="Arial" w:hAnsi="Arial" w:cs="Arial"/>
          <w:sz w:val="20"/>
          <w:szCs w:val="20"/>
          <w:lang w:val="en-GB"/>
        </w:rPr>
        <w:t xml:space="preserve"> of the Treaty</w:t>
      </w:r>
      <w:r w:rsidR="003F4714" w:rsidRPr="001A7DCD">
        <w:rPr>
          <w:rFonts w:ascii="Arial" w:hAnsi="Arial" w:cs="Arial"/>
          <w:sz w:val="20"/>
          <w:szCs w:val="20"/>
          <w:lang w:val="en-GB"/>
        </w:rPr>
        <w:t xml:space="preserve"> (</w:t>
      </w:r>
      <w:r w:rsidR="00F17754">
        <w:rPr>
          <w:rFonts w:ascii="Arial" w:hAnsi="Arial" w:cs="Arial"/>
          <w:sz w:val="20"/>
          <w:szCs w:val="20"/>
          <w:lang w:val="en-GB"/>
        </w:rPr>
        <w:t>OJ L</w:t>
      </w:r>
      <w:r w:rsidR="003F4714" w:rsidRPr="001A7DCD">
        <w:rPr>
          <w:rFonts w:ascii="Arial" w:hAnsi="Arial" w:cs="Arial"/>
          <w:sz w:val="20"/>
          <w:szCs w:val="20"/>
          <w:lang w:val="en-GB"/>
        </w:rPr>
        <w:t xml:space="preserve"> 187 </w:t>
      </w:r>
      <w:r w:rsidR="00F17754">
        <w:rPr>
          <w:rFonts w:ascii="Arial" w:hAnsi="Arial" w:cs="Arial"/>
          <w:sz w:val="20"/>
          <w:szCs w:val="20"/>
          <w:lang w:val="en-GB"/>
        </w:rPr>
        <w:t>of</w:t>
      </w:r>
      <w:r w:rsidR="003F4714" w:rsidRPr="001A7DCD">
        <w:rPr>
          <w:rFonts w:ascii="Arial" w:hAnsi="Arial" w:cs="Arial"/>
          <w:sz w:val="20"/>
          <w:szCs w:val="20"/>
          <w:lang w:val="en-GB"/>
        </w:rPr>
        <w:t xml:space="preserve"> 26</w:t>
      </w:r>
      <w:r w:rsidR="00F17754">
        <w:rPr>
          <w:rFonts w:ascii="Arial" w:hAnsi="Arial" w:cs="Arial"/>
          <w:sz w:val="20"/>
          <w:szCs w:val="20"/>
          <w:lang w:val="en-GB"/>
        </w:rPr>
        <w:t xml:space="preserve"> June </w:t>
      </w:r>
      <w:r w:rsidR="003F4714" w:rsidRPr="001A7DCD">
        <w:rPr>
          <w:rFonts w:ascii="Arial" w:hAnsi="Arial" w:cs="Arial"/>
          <w:sz w:val="20"/>
          <w:szCs w:val="20"/>
          <w:lang w:val="en-GB"/>
        </w:rPr>
        <w:t>2014);</w:t>
      </w:r>
    </w:p>
    <w:p w14:paraId="1CCD746C" w14:textId="78A83D27" w:rsidR="003F4714" w:rsidRPr="00A17C13" w:rsidRDefault="00A17C13" w:rsidP="000D1EAC">
      <w:pPr>
        <w:pStyle w:val="Odlomakpopisa"/>
        <w:widowControl w:val="0"/>
        <w:numPr>
          <w:ilvl w:val="0"/>
          <w:numId w:val="25"/>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A17C13">
        <w:rPr>
          <w:rFonts w:ascii="Arial" w:hAnsi="Arial" w:cs="Arial"/>
          <w:sz w:val="20"/>
          <w:szCs w:val="20"/>
          <w:lang w:val="en-GB"/>
        </w:rPr>
        <w:t>Ineligible clients pursuant to the Excerpt from the HBOR’s Ordinance on Management of Reputational Risk Arising from Business Relationship with Client</w:t>
      </w:r>
      <w:r w:rsidR="003F4714" w:rsidRPr="00A17C13">
        <w:rPr>
          <w:rFonts w:ascii="Arial" w:hAnsi="Arial" w:cs="Arial"/>
          <w:sz w:val="20"/>
          <w:szCs w:val="20"/>
          <w:lang w:val="en-GB"/>
        </w:rPr>
        <w:t>;</w:t>
      </w:r>
    </w:p>
    <w:p w14:paraId="10F81CAB" w14:textId="45DFCDE5" w:rsidR="003F4714" w:rsidRPr="001A7DCD" w:rsidRDefault="00AE396E" w:rsidP="000D1EAC">
      <w:pPr>
        <w:pStyle w:val="Odlomakpopisa"/>
        <w:widowControl w:val="0"/>
        <w:numPr>
          <w:ilvl w:val="0"/>
          <w:numId w:val="25"/>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AE396E">
        <w:rPr>
          <w:rFonts w:ascii="Arial" w:hAnsi="Arial" w:cs="Arial"/>
          <w:sz w:val="20"/>
          <w:szCs w:val="20"/>
          <w:lang w:val="en-GB"/>
        </w:rPr>
        <w:t>Ineligible borrowers in accordance with exclusion lists depending on the source of finance</w:t>
      </w:r>
      <w:r w:rsidR="003F4714" w:rsidRPr="001A7DCD">
        <w:rPr>
          <w:rFonts w:ascii="Arial" w:hAnsi="Arial" w:cs="Arial"/>
          <w:sz w:val="20"/>
          <w:szCs w:val="20"/>
          <w:lang w:val="en-GB"/>
        </w:rPr>
        <w:t>;</w:t>
      </w:r>
    </w:p>
    <w:p w14:paraId="197096E7" w14:textId="59FA232D" w:rsidR="003F4714" w:rsidRPr="001A7DCD" w:rsidRDefault="00C162D2" w:rsidP="000D1EAC">
      <w:pPr>
        <w:pStyle w:val="Odlomakpopisa"/>
        <w:widowControl w:val="0"/>
        <w:numPr>
          <w:ilvl w:val="0"/>
          <w:numId w:val="25"/>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Pr>
          <w:rFonts w:ascii="Arial" w:hAnsi="Arial" w:cs="Arial"/>
          <w:sz w:val="20"/>
          <w:szCs w:val="20"/>
          <w:lang w:val="en-GB"/>
        </w:rPr>
        <w:t xml:space="preserve">Financially unsustainable </w:t>
      </w:r>
      <w:r w:rsidR="007D7CEB">
        <w:rPr>
          <w:rFonts w:ascii="Arial" w:hAnsi="Arial" w:cs="Arial"/>
          <w:sz w:val="20"/>
          <w:szCs w:val="20"/>
          <w:lang w:val="en-GB"/>
        </w:rPr>
        <w:t>investment</w:t>
      </w:r>
      <w:r w:rsidR="003F4714" w:rsidRPr="001A7DCD">
        <w:rPr>
          <w:rFonts w:ascii="Arial" w:hAnsi="Arial" w:cs="Arial"/>
          <w:sz w:val="20"/>
          <w:szCs w:val="20"/>
          <w:lang w:val="en-GB"/>
        </w:rPr>
        <w:t xml:space="preserve">. </w:t>
      </w:r>
      <w:r w:rsidR="007D7CEB">
        <w:rPr>
          <w:rFonts w:ascii="Arial" w:hAnsi="Arial" w:cs="Arial"/>
          <w:sz w:val="20"/>
          <w:szCs w:val="20"/>
          <w:lang w:val="en-GB"/>
        </w:rPr>
        <w:t xml:space="preserve">Investment must be </w:t>
      </w:r>
      <w:r w:rsidR="003F4714" w:rsidRPr="001A7DCD">
        <w:rPr>
          <w:rFonts w:ascii="Arial" w:hAnsi="Arial" w:cs="Arial"/>
          <w:sz w:val="20"/>
          <w:szCs w:val="20"/>
          <w:lang w:val="en-GB"/>
        </w:rPr>
        <w:t>financi</w:t>
      </w:r>
      <w:r w:rsidR="00B11B00">
        <w:rPr>
          <w:rFonts w:ascii="Arial" w:hAnsi="Arial" w:cs="Arial"/>
          <w:sz w:val="20"/>
          <w:szCs w:val="20"/>
          <w:lang w:val="en-GB"/>
        </w:rPr>
        <w:t>ally sustainable</w:t>
      </w:r>
      <w:r w:rsidR="003F4714" w:rsidRPr="001A7DCD">
        <w:rPr>
          <w:rFonts w:ascii="Arial" w:hAnsi="Arial" w:cs="Arial"/>
          <w:sz w:val="20"/>
          <w:szCs w:val="20"/>
          <w:lang w:val="en-GB"/>
        </w:rPr>
        <w:t xml:space="preserve"> (</w:t>
      </w:r>
      <w:r w:rsidR="00474DC6">
        <w:rPr>
          <w:rFonts w:ascii="Arial" w:hAnsi="Arial" w:cs="Arial"/>
          <w:sz w:val="20"/>
          <w:szCs w:val="20"/>
          <w:lang w:val="en-GB"/>
        </w:rPr>
        <w:t>by applying customary</w:t>
      </w:r>
      <w:r w:rsidR="003F4714" w:rsidRPr="001A7DCD">
        <w:rPr>
          <w:rFonts w:ascii="Arial" w:hAnsi="Arial" w:cs="Arial"/>
          <w:sz w:val="20"/>
          <w:szCs w:val="20"/>
          <w:lang w:val="en-GB"/>
        </w:rPr>
        <w:t xml:space="preserve"> financi</w:t>
      </w:r>
      <w:r w:rsidR="00677F07">
        <w:rPr>
          <w:rFonts w:ascii="Arial" w:hAnsi="Arial" w:cs="Arial"/>
          <w:sz w:val="20"/>
          <w:szCs w:val="20"/>
          <w:lang w:val="en-GB"/>
        </w:rPr>
        <w:t>al and/or</w:t>
      </w:r>
      <w:r w:rsidR="003F4714" w:rsidRPr="001A7DCD">
        <w:rPr>
          <w:rFonts w:ascii="Arial" w:hAnsi="Arial" w:cs="Arial"/>
          <w:sz w:val="20"/>
          <w:szCs w:val="20"/>
          <w:lang w:val="en-GB"/>
        </w:rPr>
        <w:t xml:space="preserve"> e</w:t>
      </w:r>
      <w:r w:rsidR="00B8190D">
        <w:rPr>
          <w:rFonts w:ascii="Arial" w:hAnsi="Arial" w:cs="Arial"/>
          <w:sz w:val="20"/>
          <w:szCs w:val="20"/>
          <w:lang w:val="en-GB"/>
        </w:rPr>
        <w:t>conomic indicators</w:t>
      </w:r>
      <w:r w:rsidR="003F4714" w:rsidRPr="001A7DCD">
        <w:rPr>
          <w:rFonts w:ascii="Arial" w:hAnsi="Arial" w:cs="Arial"/>
          <w:sz w:val="20"/>
          <w:szCs w:val="20"/>
          <w:lang w:val="en-GB"/>
        </w:rPr>
        <w:t>, a</w:t>
      </w:r>
      <w:r w:rsidR="001A7046">
        <w:rPr>
          <w:rFonts w:ascii="Arial" w:hAnsi="Arial" w:cs="Arial"/>
          <w:sz w:val="20"/>
          <w:szCs w:val="20"/>
          <w:lang w:val="en-GB"/>
        </w:rPr>
        <w:t xml:space="preserve">nd pursuant to internal </w:t>
      </w:r>
      <w:r w:rsidR="00CC1C2F">
        <w:rPr>
          <w:rFonts w:ascii="Arial" w:hAnsi="Arial" w:cs="Arial"/>
          <w:sz w:val="20"/>
          <w:szCs w:val="20"/>
          <w:lang w:val="en-GB"/>
        </w:rPr>
        <w:t xml:space="preserve">documents </w:t>
      </w:r>
      <w:r w:rsidR="00213501">
        <w:rPr>
          <w:rFonts w:ascii="Arial" w:hAnsi="Arial" w:cs="Arial"/>
          <w:sz w:val="20"/>
          <w:szCs w:val="20"/>
          <w:lang w:val="en-GB"/>
        </w:rPr>
        <w:t>and</w:t>
      </w:r>
      <w:r w:rsidR="003F4714" w:rsidRPr="001A7DCD">
        <w:rPr>
          <w:rFonts w:ascii="Arial" w:hAnsi="Arial" w:cs="Arial"/>
          <w:sz w:val="20"/>
          <w:szCs w:val="20"/>
          <w:lang w:val="en-GB"/>
        </w:rPr>
        <w:t xml:space="preserve"> </w:t>
      </w:r>
      <w:r w:rsidR="00213501">
        <w:rPr>
          <w:rFonts w:ascii="Arial" w:hAnsi="Arial" w:cs="Arial"/>
          <w:sz w:val="20"/>
          <w:szCs w:val="20"/>
          <w:lang w:val="en-GB"/>
        </w:rPr>
        <w:t>business decision of</w:t>
      </w:r>
      <w:r w:rsidR="003F4714" w:rsidRPr="001A7DCD">
        <w:rPr>
          <w:rFonts w:ascii="Arial" w:hAnsi="Arial" w:cs="Arial"/>
          <w:sz w:val="20"/>
          <w:szCs w:val="20"/>
          <w:lang w:val="en-GB"/>
        </w:rPr>
        <w:t xml:space="preserve"> HBOR)</w:t>
      </w:r>
      <w:r w:rsidR="00805661" w:rsidRPr="001A7DCD">
        <w:rPr>
          <w:rFonts w:ascii="Arial" w:hAnsi="Arial" w:cs="Arial"/>
          <w:sz w:val="20"/>
          <w:szCs w:val="20"/>
          <w:lang w:val="en-GB"/>
        </w:rPr>
        <w:t xml:space="preserve"> </w:t>
      </w:r>
      <w:r w:rsidR="0019329D">
        <w:rPr>
          <w:rFonts w:ascii="Arial" w:hAnsi="Arial" w:cs="Arial"/>
          <w:sz w:val="20"/>
          <w:szCs w:val="20"/>
          <w:lang w:val="en-GB"/>
        </w:rPr>
        <w:t xml:space="preserve">and in </w:t>
      </w:r>
      <w:r w:rsidR="00736D9D">
        <w:rPr>
          <w:rFonts w:ascii="Arial" w:hAnsi="Arial" w:cs="Arial"/>
          <w:sz w:val="20"/>
          <w:szCs w:val="20"/>
          <w:lang w:val="en-GB"/>
        </w:rPr>
        <w:t>accordance with applicable aid rules</w:t>
      </w:r>
      <w:r w:rsidR="00323304" w:rsidRPr="001A7DCD">
        <w:rPr>
          <w:rFonts w:ascii="Arial" w:hAnsi="Arial" w:cs="Arial"/>
          <w:sz w:val="20"/>
          <w:szCs w:val="20"/>
          <w:lang w:val="en-GB"/>
        </w:rPr>
        <w:t>;</w:t>
      </w:r>
    </w:p>
    <w:p w14:paraId="0F59DA09" w14:textId="440D7BFE" w:rsidR="003F4714" w:rsidRPr="001A7DCD" w:rsidRDefault="00D36229" w:rsidP="000D1EAC">
      <w:pPr>
        <w:pStyle w:val="Odlomakpopisa"/>
        <w:widowControl w:val="0"/>
        <w:numPr>
          <w:ilvl w:val="0"/>
          <w:numId w:val="25"/>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Pr>
          <w:rFonts w:ascii="Arial" w:hAnsi="Arial" w:cs="Arial"/>
          <w:sz w:val="20"/>
          <w:szCs w:val="20"/>
          <w:lang w:val="en-GB"/>
        </w:rPr>
        <w:t xml:space="preserve">Investments that have been </w:t>
      </w:r>
      <w:r w:rsidR="008E21D9">
        <w:rPr>
          <w:rFonts w:ascii="Arial" w:hAnsi="Arial" w:cs="Arial"/>
          <w:sz w:val="20"/>
          <w:szCs w:val="20"/>
          <w:lang w:val="en-GB"/>
        </w:rPr>
        <w:t>physically completed or entirely</w:t>
      </w:r>
      <w:r w:rsidR="00530F7E">
        <w:rPr>
          <w:rFonts w:ascii="Arial" w:hAnsi="Arial" w:cs="Arial"/>
          <w:sz w:val="20"/>
          <w:szCs w:val="20"/>
          <w:lang w:val="en-GB"/>
        </w:rPr>
        <w:t xml:space="preserve"> carried out before the submission of loan application</w:t>
      </w:r>
      <w:r w:rsidR="00673C2E">
        <w:rPr>
          <w:rFonts w:ascii="Arial" w:hAnsi="Arial" w:cs="Arial"/>
          <w:sz w:val="20"/>
          <w:szCs w:val="20"/>
          <w:lang w:val="en-GB"/>
        </w:rPr>
        <w:t xml:space="preserve">, including investments started before the submission of </w:t>
      </w:r>
      <w:r w:rsidR="00B60432">
        <w:rPr>
          <w:rFonts w:ascii="Arial" w:hAnsi="Arial" w:cs="Arial"/>
          <w:sz w:val="20"/>
          <w:szCs w:val="20"/>
          <w:lang w:val="en-GB"/>
        </w:rPr>
        <w:t>application for loan</w:t>
      </w:r>
      <w:r w:rsidR="003F4714" w:rsidRPr="001A7DCD">
        <w:rPr>
          <w:rFonts w:ascii="Arial" w:hAnsi="Arial" w:cs="Arial"/>
          <w:sz w:val="20"/>
          <w:szCs w:val="20"/>
          <w:lang w:val="en-GB"/>
        </w:rPr>
        <w:t>/</w:t>
      </w:r>
      <w:r w:rsidR="00B60432">
        <w:rPr>
          <w:rFonts w:ascii="Arial" w:hAnsi="Arial" w:cs="Arial"/>
          <w:sz w:val="20"/>
          <w:szCs w:val="20"/>
          <w:lang w:val="en-GB"/>
        </w:rPr>
        <w:t>aid</w:t>
      </w:r>
      <w:r w:rsidR="003F4714" w:rsidRPr="001A7DCD">
        <w:rPr>
          <w:rStyle w:val="Referencafusnote"/>
          <w:rFonts w:ascii="Arial" w:hAnsi="Arial" w:cs="Arial"/>
          <w:sz w:val="20"/>
          <w:szCs w:val="20"/>
          <w:lang w:val="en-GB"/>
        </w:rPr>
        <w:footnoteReference w:id="6"/>
      </w:r>
      <w:r w:rsidR="009D4BBC" w:rsidRPr="001A7DCD">
        <w:rPr>
          <w:rFonts w:ascii="Arial" w:hAnsi="Arial" w:cs="Arial"/>
          <w:sz w:val="20"/>
          <w:szCs w:val="20"/>
          <w:lang w:val="en-GB"/>
        </w:rPr>
        <w:t>;</w:t>
      </w:r>
    </w:p>
    <w:p w14:paraId="050E5501" w14:textId="230B4B75" w:rsidR="003F4714" w:rsidRPr="001A7DCD" w:rsidRDefault="006D5AA3" w:rsidP="000D1EAC">
      <w:pPr>
        <w:pStyle w:val="Odlomakpopisa"/>
        <w:widowControl w:val="0"/>
        <w:numPr>
          <w:ilvl w:val="0"/>
          <w:numId w:val="25"/>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Pr>
          <w:rFonts w:ascii="Arial" w:hAnsi="Arial" w:cs="Arial"/>
          <w:sz w:val="20"/>
          <w:szCs w:val="20"/>
          <w:lang w:val="en-GB"/>
        </w:rPr>
        <w:lastRenderedPageBreak/>
        <w:t xml:space="preserve">Loan within </w:t>
      </w:r>
      <w:r w:rsidR="00E4721F">
        <w:rPr>
          <w:rFonts w:ascii="Arial" w:hAnsi="Arial" w:cs="Arial"/>
          <w:sz w:val="20"/>
          <w:szCs w:val="20"/>
          <w:lang w:val="en-GB"/>
        </w:rPr>
        <w:t>the framewor</w:t>
      </w:r>
      <w:r w:rsidR="003F4714" w:rsidRPr="001A7DCD">
        <w:rPr>
          <w:rFonts w:ascii="Arial" w:hAnsi="Arial" w:cs="Arial"/>
          <w:sz w:val="20"/>
          <w:szCs w:val="20"/>
          <w:lang w:val="en-GB"/>
        </w:rPr>
        <w:t>k</w:t>
      </w:r>
      <w:r w:rsidR="00E4721F">
        <w:rPr>
          <w:rFonts w:ascii="Arial" w:hAnsi="Arial" w:cs="Arial"/>
          <w:sz w:val="20"/>
          <w:szCs w:val="20"/>
          <w:lang w:val="en-GB"/>
        </w:rPr>
        <w:t xml:space="preserve"> of this Loan Programme can neither be used for </w:t>
      </w:r>
      <w:r w:rsidR="000F7B20">
        <w:rPr>
          <w:rFonts w:ascii="Arial" w:hAnsi="Arial" w:cs="Arial"/>
          <w:sz w:val="20"/>
          <w:szCs w:val="20"/>
          <w:lang w:val="en-GB"/>
        </w:rPr>
        <w:t xml:space="preserve">the co-financing </w:t>
      </w:r>
      <w:r w:rsidR="00137EE4">
        <w:rPr>
          <w:rFonts w:ascii="Arial" w:hAnsi="Arial" w:cs="Arial"/>
          <w:sz w:val="20"/>
          <w:szCs w:val="20"/>
          <w:lang w:val="en-GB"/>
        </w:rPr>
        <w:t xml:space="preserve">or preliminary financing of grants </w:t>
      </w:r>
      <w:r w:rsidR="00F56BE4">
        <w:rPr>
          <w:rFonts w:ascii="Arial" w:hAnsi="Arial" w:cs="Arial"/>
          <w:sz w:val="20"/>
          <w:szCs w:val="20"/>
          <w:lang w:val="en-GB"/>
        </w:rPr>
        <w:t xml:space="preserve">nor can the grants be used for the </w:t>
      </w:r>
      <w:r w:rsidR="00786D57">
        <w:rPr>
          <w:rFonts w:ascii="Arial" w:hAnsi="Arial" w:cs="Arial"/>
          <w:sz w:val="20"/>
          <w:szCs w:val="20"/>
          <w:lang w:val="en-GB"/>
        </w:rPr>
        <w:t>compensation of aid</w:t>
      </w:r>
      <w:r w:rsidR="003F4714" w:rsidRPr="001A7DCD">
        <w:rPr>
          <w:rFonts w:ascii="Arial" w:hAnsi="Arial" w:cs="Arial"/>
          <w:sz w:val="20"/>
          <w:szCs w:val="20"/>
          <w:lang w:val="en-GB"/>
        </w:rPr>
        <w:t xml:space="preserve"> </w:t>
      </w:r>
      <w:r w:rsidR="00493F12">
        <w:rPr>
          <w:rFonts w:ascii="Arial" w:hAnsi="Arial" w:cs="Arial"/>
          <w:sz w:val="20"/>
          <w:szCs w:val="20"/>
          <w:lang w:val="en-GB"/>
        </w:rPr>
        <w:t>received from financial instruments</w:t>
      </w:r>
      <w:r w:rsidR="003F4714" w:rsidRPr="001A7DCD">
        <w:rPr>
          <w:rFonts w:ascii="Arial" w:hAnsi="Arial" w:cs="Arial"/>
          <w:sz w:val="20"/>
          <w:szCs w:val="20"/>
          <w:lang w:val="en-GB"/>
        </w:rPr>
        <w:t>;</w:t>
      </w:r>
    </w:p>
    <w:p w14:paraId="74D81437" w14:textId="7A00E1CF" w:rsidR="0CE820C3" w:rsidRPr="001A7DCD" w:rsidRDefault="00102863" w:rsidP="0CE820C3">
      <w:pPr>
        <w:pStyle w:val="Odlomakpopisa"/>
        <w:widowControl w:val="0"/>
        <w:numPr>
          <w:ilvl w:val="0"/>
          <w:numId w:val="25"/>
        </w:numPr>
        <w:tabs>
          <w:tab w:val="left" w:pos="879"/>
          <w:tab w:val="left" w:pos="880"/>
        </w:tabs>
        <w:spacing w:before="1" w:after="0" w:line="276" w:lineRule="auto"/>
        <w:jc w:val="both"/>
        <w:rPr>
          <w:rFonts w:ascii="Arial" w:hAnsi="Arial" w:cs="Arial"/>
          <w:sz w:val="20"/>
          <w:szCs w:val="20"/>
          <w:lang w:val="en-GB"/>
        </w:rPr>
      </w:pPr>
      <w:r>
        <w:rPr>
          <w:rFonts w:ascii="Arial" w:hAnsi="Arial" w:cs="Arial"/>
          <w:sz w:val="20"/>
          <w:szCs w:val="20"/>
          <w:lang w:val="en-GB"/>
        </w:rPr>
        <w:t xml:space="preserve">Purchase of land exceeding </w:t>
      </w:r>
      <w:r w:rsidR="003F4714" w:rsidRPr="001A7DCD">
        <w:rPr>
          <w:rFonts w:ascii="Arial" w:hAnsi="Arial" w:cs="Arial"/>
          <w:sz w:val="20"/>
          <w:szCs w:val="20"/>
          <w:lang w:val="en-GB"/>
        </w:rPr>
        <w:t xml:space="preserve">10% </w:t>
      </w:r>
      <w:r w:rsidR="000553EA">
        <w:rPr>
          <w:rFonts w:ascii="Arial" w:hAnsi="Arial" w:cs="Arial"/>
          <w:sz w:val="20"/>
          <w:szCs w:val="20"/>
          <w:lang w:val="en-GB"/>
        </w:rPr>
        <w:t>of the loan amount</w:t>
      </w:r>
      <w:r w:rsidR="003F4714" w:rsidRPr="001A7DCD">
        <w:rPr>
          <w:rFonts w:ascii="Arial" w:hAnsi="Arial" w:cs="Arial"/>
          <w:sz w:val="20"/>
          <w:szCs w:val="20"/>
          <w:lang w:val="en-GB"/>
        </w:rPr>
        <w:t xml:space="preserve">, </w:t>
      </w:r>
      <w:r w:rsidR="000553EA">
        <w:rPr>
          <w:rFonts w:ascii="Arial" w:hAnsi="Arial" w:cs="Arial"/>
          <w:sz w:val="20"/>
          <w:szCs w:val="20"/>
          <w:lang w:val="en-GB"/>
        </w:rPr>
        <w:t xml:space="preserve">i.e., </w:t>
      </w:r>
      <w:r w:rsidR="00280F55">
        <w:rPr>
          <w:rFonts w:ascii="Arial" w:hAnsi="Arial" w:cs="Arial"/>
          <w:sz w:val="20"/>
          <w:szCs w:val="20"/>
          <w:lang w:val="en-GB"/>
        </w:rPr>
        <w:t>1</w:t>
      </w:r>
      <w:r w:rsidR="003F4714" w:rsidRPr="001A7DCD">
        <w:rPr>
          <w:rFonts w:ascii="Arial" w:hAnsi="Arial" w:cs="Arial"/>
          <w:sz w:val="20"/>
          <w:szCs w:val="20"/>
          <w:lang w:val="en-GB"/>
        </w:rPr>
        <w:t xml:space="preserve">5% </w:t>
      </w:r>
      <w:r w:rsidR="00D20100">
        <w:rPr>
          <w:rFonts w:ascii="Arial" w:hAnsi="Arial" w:cs="Arial"/>
          <w:sz w:val="20"/>
          <w:szCs w:val="20"/>
          <w:lang w:val="en-GB"/>
        </w:rPr>
        <w:t>for deserted</w:t>
      </w:r>
      <w:r w:rsidR="003F4714" w:rsidRPr="001A7DCD">
        <w:rPr>
          <w:rFonts w:ascii="Arial" w:hAnsi="Arial" w:cs="Arial"/>
          <w:sz w:val="20"/>
          <w:szCs w:val="20"/>
          <w:lang w:val="en-GB"/>
        </w:rPr>
        <w:t xml:space="preserve"> </w:t>
      </w:r>
      <w:r w:rsidR="00A33DF6">
        <w:rPr>
          <w:rFonts w:ascii="Arial" w:hAnsi="Arial" w:cs="Arial"/>
          <w:sz w:val="20"/>
          <w:szCs w:val="20"/>
          <w:lang w:val="en-GB"/>
        </w:rPr>
        <w:t>and former industrial locations that include buildings</w:t>
      </w:r>
      <w:r w:rsidR="003F4714" w:rsidRPr="001A7DCD">
        <w:rPr>
          <w:rFonts w:ascii="Arial" w:hAnsi="Arial" w:cs="Arial"/>
          <w:sz w:val="20"/>
          <w:szCs w:val="20"/>
          <w:lang w:val="en-GB"/>
        </w:rPr>
        <w:t>;</w:t>
      </w:r>
    </w:p>
    <w:p w14:paraId="65E9B164" w14:textId="7447065A" w:rsidR="009B5C9B" w:rsidRPr="001A7DCD" w:rsidRDefault="00A33DF6" w:rsidP="0CE820C3">
      <w:pPr>
        <w:pStyle w:val="Odlomakpopisa"/>
        <w:widowControl w:val="0"/>
        <w:numPr>
          <w:ilvl w:val="0"/>
          <w:numId w:val="25"/>
        </w:numPr>
        <w:tabs>
          <w:tab w:val="left" w:pos="879"/>
          <w:tab w:val="left" w:pos="880"/>
        </w:tabs>
        <w:spacing w:before="1" w:after="0" w:line="276" w:lineRule="auto"/>
        <w:jc w:val="both"/>
        <w:rPr>
          <w:rFonts w:ascii="Arial" w:hAnsi="Arial" w:cs="Arial"/>
          <w:sz w:val="20"/>
          <w:szCs w:val="20"/>
          <w:lang w:val="en-GB"/>
        </w:rPr>
      </w:pPr>
      <w:r>
        <w:rPr>
          <w:rFonts w:ascii="Arial" w:hAnsi="Arial" w:cs="Arial"/>
          <w:sz w:val="20"/>
          <w:szCs w:val="20"/>
          <w:lang w:val="en-GB"/>
        </w:rPr>
        <w:t>Purchase of real estate</w:t>
      </w:r>
      <w:r w:rsidR="003F44C0" w:rsidRPr="001A7DCD">
        <w:rPr>
          <w:rFonts w:ascii="Arial" w:hAnsi="Arial" w:cs="Arial"/>
          <w:sz w:val="20"/>
          <w:szCs w:val="20"/>
          <w:lang w:val="en-GB"/>
        </w:rPr>
        <w:t>;</w:t>
      </w:r>
    </w:p>
    <w:p w14:paraId="4D88AD5D" w14:textId="28648723" w:rsidR="003F4714" w:rsidRPr="001A7DCD" w:rsidRDefault="00A33DF6" w:rsidP="000D1EAC">
      <w:pPr>
        <w:pStyle w:val="Odlomakpopisa"/>
        <w:numPr>
          <w:ilvl w:val="0"/>
          <w:numId w:val="25"/>
        </w:numPr>
        <w:rPr>
          <w:rFonts w:ascii="Arial" w:hAnsi="Arial" w:cs="Arial"/>
          <w:color w:val="000000" w:themeColor="text1"/>
          <w:sz w:val="20"/>
          <w:szCs w:val="20"/>
          <w:lang w:val="en-GB"/>
        </w:rPr>
      </w:pPr>
      <w:r>
        <w:rPr>
          <w:rFonts w:ascii="Arial" w:hAnsi="Arial" w:cs="Arial"/>
          <w:color w:val="000000" w:themeColor="text1"/>
          <w:sz w:val="20"/>
          <w:szCs w:val="20"/>
          <w:lang w:val="en-GB"/>
        </w:rPr>
        <w:t>Value Added Tax</w:t>
      </w:r>
      <w:r w:rsidR="003F4714" w:rsidRPr="001A7DCD">
        <w:rPr>
          <w:rFonts w:ascii="Arial" w:hAnsi="Arial" w:cs="Arial"/>
          <w:color w:val="000000" w:themeColor="text1"/>
          <w:sz w:val="20"/>
          <w:szCs w:val="20"/>
          <w:lang w:val="en-GB"/>
        </w:rPr>
        <w:t xml:space="preserve"> (</w:t>
      </w:r>
      <w:r w:rsidR="00896D3D">
        <w:rPr>
          <w:rFonts w:ascii="Arial" w:hAnsi="Arial" w:cs="Arial"/>
          <w:color w:val="000000" w:themeColor="text1"/>
          <w:sz w:val="20"/>
          <w:szCs w:val="20"/>
          <w:lang w:val="en-GB"/>
        </w:rPr>
        <w:t>VAT</w:t>
      </w:r>
      <w:r w:rsidR="003F4714" w:rsidRPr="001A7DCD">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except for the Final recipient</w:t>
      </w:r>
      <w:r w:rsidR="0006731B">
        <w:rPr>
          <w:rFonts w:ascii="Arial" w:hAnsi="Arial" w:cs="Arial"/>
          <w:color w:val="000000" w:themeColor="text1"/>
          <w:sz w:val="20"/>
          <w:szCs w:val="20"/>
          <w:lang w:val="en-GB"/>
        </w:rPr>
        <w:t xml:space="preserve"> delivering goods or performing services exempt from VAT calculation or for Final recipients</w:t>
      </w:r>
      <w:r w:rsidR="00FE0C07">
        <w:rPr>
          <w:rFonts w:ascii="Arial" w:hAnsi="Arial" w:cs="Arial"/>
          <w:color w:val="000000" w:themeColor="text1"/>
          <w:sz w:val="20"/>
          <w:szCs w:val="20"/>
          <w:lang w:val="en-GB"/>
        </w:rPr>
        <w:t xml:space="preserve"> that do not operate within the VAT system</w:t>
      </w:r>
      <w:r w:rsidR="004703F8" w:rsidRPr="001A7DCD">
        <w:rPr>
          <w:rFonts w:ascii="Arial" w:hAnsi="Arial" w:cs="Arial"/>
          <w:color w:val="000000" w:themeColor="text1"/>
          <w:sz w:val="20"/>
          <w:szCs w:val="20"/>
          <w:lang w:val="en-GB"/>
        </w:rPr>
        <w:t>;</w:t>
      </w:r>
    </w:p>
    <w:p w14:paraId="0F6FB98E" w14:textId="57B3A7F0" w:rsidR="003F4714" w:rsidRPr="001A7DCD" w:rsidRDefault="00D15336" w:rsidP="000D1EAC">
      <w:pPr>
        <w:pStyle w:val="Odlomakpopisa"/>
        <w:widowControl w:val="0"/>
        <w:numPr>
          <w:ilvl w:val="0"/>
          <w:numId w:val="25"/>
        </w:numPr>
        <w:autoSpaceDE w:val="0"/>
        <w:autoSpaceDN w:val="0"/>
        <w:spacing w:after="0" w:line="276" w:lineRule="auto"/>
        <w:contextualSpacing w:val="0"/>
        <w:jc w:val="both"/>
        <w:rPr>
          <w:rFonts w:ascii="Arial" w:hAnsi="Arial" w:cs="Arial"/>
          <w:sz w:val="20"/>
          <w:szCs w:val="20"/>
          <w:lang w:val="en-GB"/>
        </w:rPr>
      </w:pPr>
      <w:r>
        <w:rPr>
          <w:rFonts w:ascii="Arial" w:hAnsi="Arial" w:cs="Arial"/>
          <w:sz w:val="20"/>
          <w:szCs w:val="20"/>
          <w:lang w:val="en-GB"/>
        </w:rPr>
        <w:t>Construction</w:t>
      </w:r>
      <w:r w:rsidR="003F4714" w:rsidRPr="001A7DCD">
        <w:rPr>
          <w:rFonts w:ascii="Arial" w:hAnsi="Arial" w:cs="Arial"/>
          <w:sz w:val="20"/>
          <w:szCs w:val="20"/>
          <w:lang w:val="en-GB"/>
        </w:rPr>
        <w:t xml:space="preserve">, </w:t>
      </w:r>
      <w:r w:rsidR="003F16E4">
        <w:rPr>
          <w:rFonts w:ascii="Arial" w:hAnsi="Arial" w:cs="Arial"/>
          <w:sz w:val="20"/>
          <w:szCs w:val="20"/>
          <w:lang w:val="en-GB"/>
        </w:rPr>
        <w:t>reconstruction</w:t>
      </w:r>
      <w:r w:rsidR="003F4714" w:rsidRPr="001A7DCD">
        <w:rPr>
          <w:rFonts w:ascii="Arial" w:hAnsi="Arial" w:cs="Arial"/>
          <w:sz w:val="20"/>
          <w:szCs w:val="20"/>
          <w:lang w:val="en-GB"/>
        </w:rPr>
        <w:t xml:space="preserve">, </w:t>
      </w:r>
      <w:r w:rsidR="003F16E4">
        <w:rPr>
          <w:rFonts w:ascii="Arial" w:hAnsi="Arial" w:cs="Arial"/>
          <w:sz w:val="20"/>
          <w:szCs w:val="20"/>
          <w:lang w:val="en-GB"/>
        </w:rPr>
        <w:t>commissioning or decommissioning of nuclear</w:t>
      </w:r>
      <w:r w:rsidR="003F4714" w:rsidRPr="001A7DCD">
        <w:rPr>
          <w:rFonts w:ascii="Arial" w:hAnsi="Arial" w:cs="Arial"/>
          <w:sz w:val="20"/>
          <w:szCs w:val="20"/>
          <w:lang w:val="en-GB"/>
        </w:rPr>
        <w:t xml:space="preserve"> </w:t>
      </w:r>
      <w:r w:rsidR="00A344D1">
        <w:rPr>
          <w:rFonts w:ascii="Arial" w:hAnsi="Arial" w:cs="Arial"/>
          <w:sz w:val="20"/>
          <w:szCs w:val="20"/>
          <w:lang w:val="en-GB"/>
        </w:rPr>
        <w:t>power plants</w:t>
      </w:r>
      <w:r w:rsidR="003F4714" w:rsidRPr="001A7DCD">
        <w:rPr>
          <w:rFonts w:ascii="Arial" w:hAnsi="Arial" w:cs="Arial"/>
          <w:sz w:val="20"/>
          <w:szCs w:val="20"/>
          <w:lang w:val="en-GB"/>
        </w:rPr>
        <w:t>;</w:t>
      </w:r>
    </w:p>
    <w:p w14:paraId="4C2E3E39" w14:textId="6C13A276" w:rsidR="003F4714" w:rsidRPr="001A7DCD" w:rsidRDefault="00A344D1" w:rsidP="00F360C1">
      <w:pPr>
        <w:pStyle w:val="Odlomakpopisa"/>
        <w:widowControl w:val="0"/>
        <w:numPr>
          <w:ilvl w:val="0"/>
          <w:numId w:val="25"/>
        </w:numPr>
        <w:tabs>
          <w:tab w:val="left" w:pos="879"/>
          <w:tab w:val="left" w:pos="880"/>
        </w:tabs>
        <w:autoSpaceDE w:val="0"/>
        <w:autoSpaceDN w:val="0"/>
        <w:spacing w:before="1" w:after="0" w:line="276" w:lineRule="auto"/>
        <w:jc w:val="both"/>
        <w:rPr>
          <w:rFonts w:ascii="Arial" w:hAnsi="Arial" w:cs="Arial"/>
          <w:sz w:val="20"/>
          <w:szCs w:val="20"/>
          <w:lang w:val="en-GB"/>
        </w:rPr>
      </w:pPr>
      <w:r>
        <w:rPr>
          <w:rFonts w:ascii="Arial" w:hAnsi="Arial" w:cs="Arial"/>
          <w:sz w:val="20"/>
          <w:szCs w:val="20"/>
          <w:lang w:val="en-GB"/>
        </w:rPr>
        <w:t xml:space="preserve">Investments for the purpose of reducing </w:t>
      </w:r>
      <w:r w:rsidR="00884AFB" w:rsidRPr="00884AFB">
        <w:rPr>
          <w:rFonts w:ascii="Arial" w:hAnsi="Arial" w:cs="Arial"/>
          <w:sz w:val="20"/>
          <w:szCs w:val="20"/>
          <w:lang w:val="en-GB"/>
        </w:rPr>
        <w:t>greenhouse gas emissions from the activities stated in Annex I to Directive 2003/87/EC</w:t>
      </w:r>
      <w:r w:rsidR="00C9217E" w:rsidRPr="00884AFB">
        <w:rPr>
          <w:rFonts w:ascii="Arial" w:hAnsi="Arial" w:cs="Arial"/>
          <w:sz w:val="20"/>
          <w:szCs w:val="20"/>
          <w:lang w:val="en-GB"/>
        </w:rPr>
        <w:t>,</w:t>
      </w:r>
      <w:r w:rsidR="00C9217E" w:rsidRPr="001A7DCD">
        <w:rPr>
          <w:rFonts w:ascii="Arial" w:hAnsi="Arial" w:cs="Arial"/>
          <w:sz w:val="20"/>
          <w:szCs w:val="20"/>
          <w:lang w:val="en-GB"/>
        </w:rPr>
        <w:t xml:space="preserve"> </w:t>
      </w:r>
      <w:r w:rsidR="00D20DEB">
        <w:rPr>
          <w:rFonts w:ascii="Arial" w:hAnsi="Arial" w:cs="Arial"/>
          <w:sz w:val="20"/>
          <w:szCs w:val="20"/>
          <w:lang w:val="en-GB"/>
        </w:rPr>
        <w:t xml:space="preserve">or </w:t>
      </w:r>
      <w:r w:rsidR="00482C3C">
        <w:rPr>
          <w:rFonts w:ascii="Arial" w:hAnsi="Arial" w:cs="Arial"/>
          <w:sz w:val="20"/>
          <w:szCs w:val="20"/>
          <w:lang w:val="en-GB"/>
        </w:rPr>
        <w:t xml:space="preserve">in Croatian legislation, transposed into the </w:t>
      </w:r>
      <w:r w:rsidR="00E85A0A">
        <w:rPr>
          <w:rFonts w:ascii="Arial" w:hAnsi="Arial" w:cs="Arial"/>
          <w:sz w:val="20"/>
          <w:szCs w:val="20"/>
          <w:lang w:val="en-GB"/>
        </w:rPr>
        <w:t>Greenhouse Gas Emission Quota Allocation Plan</w:t>
      </w:r>
      <w:r w:rsidR="00C9217E" w:rsidRPr="001A7DCD">
        <w:rPr>
          <w:rFonts w:ascii="Arial" w:hAnsi="Arial" w:cs="Arial"/>
          <w:sz w:val="20"/>
          <w:szCs w:val="20"/>
          <w:lang w:val="en-GB"/>
        </w:rPr>
        <w:t xml:space="preserve">, </w:t>
      </w:r>
      <w:r w:rsidR="00E85A0A">
        <w:rPr>
          <w:rFonts w:ascii="Arial" w:hAnsi="Arial" w:cs="Arial"/>
          <w:sz w:val="20"/>
          <w:szCs w:val="20"/>
          <w:lang w:val="en-GB"/>
        </w:rPr>
        <w:t>the Air Protection Act</w:t>
      </w:r>
      <w:r w:rsidR="00C9217E" w:rsidRPr="001A7DCD">
        <w:rPr>
          <w:rFonts w:ascii="Arial" w:hAnsi="Arial" w:cs="Arial"/>
          <w:sz w:val="20"/>
          <w:szCs w:val="20"/>
          <w:lang w:val="en-GB"/>
        </w:rPr>
        <w:t xml:space="preserve">, </w:t>
      </w:r>
      <w:r w:rsidR="00E85A0A">
        <w:rPr>
          <w:rFonts w:ascii="Arial" w:hAnsi="Arial" w:cs="Arial"/>
          <w:sz w:val="20"/>
          <w:szCs w:val="20"/>
          <w:lang w:val="en-GB"/>
        </w:rPr>
        <w:t xml:space="preserve">The Regulation </w:t>
      </w:r>
      <w:r w:rsidR="00E546D5">
        <w:rPr>
          <w:rFonts w:ascii="Arial" w:hAnsi="Arial" w:cs="Arial"/>
          <w:sz w:val="20"/>
          <w:szCs w:val="20"/>
          <w:lang w:val="en-GB"/>
        </w:rPr>
        <w:t xml:space="preserve">on the Method of Trading in Greenhouse Gas Emission Units and other applicable </w:t>
      </w:r>
      <w:r w:rsidR="000277C1">
        <w:rPr>
          <w:rFonts w:ascii="Arial" w:hAnsi="Arial" w:cs="Arial"/>
          <w:sz w:val="20"/>
          <w:szCs w:val="20"/>
          <w:lang w:val="en-GB"/>
        </w:rPr>
        <w:t>legislation/secondary legislation</w:t>
      </w:r>
      <w:r w:rsidR="004703F8" w:rsidRPr="001A7DCD">
        <w:rPr>
          <w:rFonts w:ascii="Arial" w:hAnsi="Arial" w:cs="Arial"/>
          <w:sz w:val="20"/>
          <w:szCs w:val="20"/>
          <w:lang w:val="en-GB"/>
        </w:rPr>
        <w:t>;</w:t>
      </w:r>
      <w:r w:rsidR="00426D20" w:rsidRPr="001A7DCD">
        <w:rPr>
          <w:rFonts w:ascii="Arial" w:hAnsi="Arial" w:cs="Arial"/>
          <w:sz w:val="20"/>
          <w:szCs w:val="20"/>
          <w:lang w:val="en-GB"/>
        </w:rPr>
        <w:t xml:space="preserve"> </w:t>
      </w:r>
    </w:p>
    <w:p w14:paraId="2515EF0B" w14:textId="624D66C9" w:rsidR="003F4714" w:rsidRPr="00B07050" w:rsidRDefault="00EE169E" w:rsidP="000D1EAC">
      <w:pPr>
        <w:pStyle w:val="Odlomakpopisa"/>
        <w:widowControl w:val="0"/>
        <w:numPr>
          <w:ilvl w:val="0"/>
          <w:numId w:val="25"/>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B07050">
        <w:rPr>
          <w:rFonts w:ascii="Arial" w:hAnsi="Arial" w:cs="Arial"/>
          <w:sz w:val="20"/>
          <w:szCs w:val="20"/>
          <w:lang w:val="en-GB"/>
        </w:rPr>
        <w:t>production, processing and marketing of tobacco and tobacco products</w:t>
      </w:r>
      <w:r w:rsidR="003F4714" w:rsidRPr="00B07050">
        <w:rPr>
          <w:rFonts w:ascii="Arial" w:hAnsi="Arial" w:cs="Arial"/>
          <w:sz w:val="20"/>
          <w:szCs w:val="20"/>
          <w:lang w:val="en-GB"/>
        </w:rPr>
        <w:t>;</w:t>
      </w:r>
    </w:p>
    <w:p w14:paraId="558046C5" w14:textId="4451C6B0" w:rsidR="003F4714" w:rsidRPr="00B07050" w:rsidRDefault="00B07050" w:rsidP="000D1EAC">
      <w:pPr>
        <w:pStyle w:val="Odlomakpopisa"/>
        <w:widowControl w:val="0"/>
        <w:numPr>
          <w:ilvl w:val="0"/>
          <w:numId w:val="25"/>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B07050">
        <w:rPr>
          <w:rFonts w:ascii="Arial" w:hAnsi="Arial" w:cs="Arial"/>
          <w:sz w:val="20"/>
          <w:szCs w:val="20"/>
          <w:lang w:val="en-GB"/>
        </w:rPr>
        <w:t>investments in airport infrastructure, except for the outermost regions or in existing regional airports as defined in Article 2 item 153 of the Regulation (EU) No. 651/2014, in any of the following cases</w:t>
      </w:r>
      <w:r w:rsidR="003F4714" w:rsidRPr="00B07050">
        <w:rPr>
          <w:rFonts w:ascii="Arial" w:hAnsi="Arial" w:cs="Arial"/>
          <w:sz w:val="20"/>
          <w:szCs w:val="20"/>
          <w:lang w:val="en-GB"/>
        </w:rPr>
        <w:t>:</w:t>
      </w:r>
    </w:p>
    <w:p w14:paraId="3527E23D" w14:textId="76954DFF" w:rsidR="003F4714" w:rsidRPr="003B4871" w:rsidRDefault="00F64111" w:rsidP="000D1EAC">
      <w:pPr>
        <w:pStyle w:val="Odlomakpopisa"/>
        <w:widowControl w:val="0"/>
        <w:numPr>
          <w:ilvl w:val="0"/>
          <w:numId w:val="29"/>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3B4871">
        <w:rPr>
          <w:rFonts w:ascii="Arial" w:hAnsi="Arial" w:cs="Arial"/>
          <w:sz w:val="20"/>
          <w:szCs w:val="20"/>
          <w:lang w:val="en-GB"/>
        </w:rPr>
        <w:t>measures for mitigating environmental impact</w:t>
      </w:r>
      <w:r w:rsidR="003F4714" w:rsidRPr="003B4871">
        <w:rPr>
          <w:rFonts w:ascii="Arial" w:hAnsi="Arial" w:cs="Arial"/>
          <w:sz w:val="20"/>
          <w:szCs w:val="20"/>
          <w:lang w:val="en-GB"/>
        </w:rPr>
        <w:t xml:space="preserve">; </w:t>
      </w:r>
      <w:r w:rsidRPr="003B4871">
        <w:rPr>
          <w:rFonts w:ascii="Arial" w:hAnsi="Arial" w:cs="Arial"/>
          <w:sz w:val="20"/>
          <w:szCs w:val="20"/>
          <w:lang w:val="en-GB"/>
        </w:rPr>
        <w:t>or</w:t>
      </w:r>
    </w:p>
    <w:p w14:paraId="561EFC80" w14:textId="5480104B" w:rsidR="003F4714" w:rsidRPr="003B4871" w:rsidRDefault="003B4871" w:rsidP="000D1EAC">
      <w:pPr>
        <w:pStyle w:val="Odlomakpopisa"/>
        <w:widowControl w:val="0"/>
        <w:numPr>
          <w:ilvl w:val="0"/>
          <w:numId w:val="29"/>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3B4871">
        <w:rPr>
          <w:rFonts w:ascii="Arial" w:hAnsi="Arial" w:cs="Arial"/>
          <w:sz w:val="20"/>
          <w:szCs w:val="20"/>
          <w:lang w:val="en-GB"/>
        </w:rPr>
        <w:t>systems for the protection and safety of air traffic and its management that arise from research and development of air traffic management on the single European sky</w:t>
      </w:r>
      <w:r w:rsidR="003F4714" w:rsidRPr="003B4871">
        <w:rPr>
          <w:rFonts w:ascii="Arial" w:hAnsi="Arial" w:cs="Arial"/>
          <w:sz w:val="20"/>
          <w:szCs w:val="20"/>
          <w:lang w:val="en-GB"/>
        </w:rPr>
        <w:t>;</w:t>
      </w:r>
    </w:p>
    <w:p w14:paraId="7DC99922" w14:textId="76CE1869" w:rsidR="003F4714" w:rsidRPr="00ED06AE" w:rsidRDefault="00E513DA" w:rsidP="000D1EAC">
      <w:pPr>
        <w:pStyle w:val="Odlomakpopisa"/>
        <w:widowControl w:val="0"/>
        <w:numPr>
          <w:ilvl w:val="0"/>
          <w:numId w:val="25"/>
        </w:numPr>
        <w:tabs>
          <w:tab w:val="left" w:pos="880"/>
        </w:tabs>
        <w:autoSpaceDE w:val="0"/>
        <w:autoSpaceDN w:val="0"/>
        <w:spacing w:after="0" w:line="276" w:lineRule="auto"/>
        <w:contextualSpacing w:val="0"/>
        <w:jc w:val="both"/>
        <w:rPr>
          <w:rFonts w:ascii="Arial" w:hAnsi="Arial" w:cs="Arial"/>
          <w:sz w:val="20"/>
          <w:szCs w:val="20"/>
          <w:lang w:val="en-GB"/>
        </w:rPr>
      </w:pPr>
      <w:r w:rsidRPr="00ED06AE">
        <w:rPr>
          <w:rFonts w:ascii="Arial" w:hAnsi="Arial" w:cs="Arial"/>
          <w:sz w:val="20"/>
          <w:szCs w:val="20"/>
          <w:lang w:val="en-GB"/>
        </w:rPr>
        <w:t>investments in landfill waste disposal, except for</w:t>
      </w:r>
      <w:r w:rsidR="003F4714" w:rsidRPr="00ED06AE">
        <w:rPr>
          <w:rFonts w:ascii="Arial" w:hAnsi="Arial" w:cs="Arial"/>
          <w:sz w:val="20"/>
          <w:szCs w:val="20"/>
          <w:lang w:val="en-GB"/>
        </w:rPr>
        <w:t>:</w:t>
      </w:r>
    </w:p>
    <w:p w14:paraId="08ABC410" w14:textId="77777777" w:rsidR="0072229E" w:rsidRPr="00ED06AE" w:rsidRDefault="0072229E" w:rsidP="0072229E">
      <w:pPr>
        <w:pStyle w:val="Odlomakpopisa"/>
        <w:widowControl w:val="0"/>
        <w:numPr>
          <w:ilvl w:val="0"/>
          <w:numId w:val="30"/>
        </w:numPr>
        <w:tabs>
          <w:tab w:val="left" w:pos="880"/>
        </w:tabs>
        <w:autoSpaceDE w:val="0"/>
        <w:autoSpaceDN w:val="0"/>
        <w:spacing w:after="0" w:line="276" w:lineRule="auto"/>
        <w:contextualSpacing w:val="0"/>
        <w:jc w:val="both"/>
        <w:rPr>
          <w:rFonts w:ascii="Arial" w:hAnsi="Arial" w:cs="Arial"/>
          <w:sz w:val="20"/>
          <w:szCs w:val="20"/>
          <w:lang w:val="en-GB"/>
        </w:rPr>
      </w:pPr>
      <w:r w:rsidRPr="00ED06AE">
        <w:rPr>
          <w:rFonts w:ascii="Arial" w:hAnsi="Arial" w:cs="Arial"/>
          <w:sz w:val="20"/>
          <w:szCs w:val="20"/>
          <w:lang w:val="en-GB"/>
        </w:rPr>
        <w:t>outermost regions, only in duly justified cases; or</w:t>
      </w:r>
    </w:p>
    <w:p w14:paraId="5D21B955" w14:textId="3B939FC9" w:rsidR="003F4714" w:rsidRPr="00ED06AE" w:rsidRDefault="00A30C59" w:rsidP="000D1EAC">
      <w:pPr>
        <w:pStyle w:val="Odlomakpopisa"/>
        <w:widowControl w:val="0"/>
        <w:numPr>
          <w:ilvl w:val="0"/>
          <w:numId w:val="30"/>
        </w:numPr>
        <w:tabs>
          <w:tab w:val="left" w:pos="880"/>
        </w:tabs>
        <w:autoSpaceDE w:val="0"/>
        <w:autoSpaceDN w:val="0"/>
        <w:spacing w:after="0" w:line="276" w:lineRule="auto"/>
        <w:contextualSpacing w:val="0"/>
        <w:jc w:val="both"/>
        <w:rPr>
          <w:rFonts w:ascii="Arial" w:hAnsi="Arial" w:cs="Arial"/>
          <w:sz w:val="20"/>
          <w:szCs w:val="20"/>
          <w:lang w:val="en-GB"/>
        </w:rPr>
      </w:pPr>
      <w:r w:rsidRPr="00ED06AE">
        <w:rPr>
          <w:rFonts w:ascii="Arial" w:hAnsi="Arial" w:cs="Arial"/>
          <w:sz w:val="20"/>
          <w:szCs w:val="20"/>
          <w:lang w:val="en-GB"/>
        </w:rPr>
        <w:t>for investments in decommissioning, conversion or providing of existing landfills, provided that such investments do not increase their capacities</w:t>
      </w:r>
      <w:r w:rsidR="003F4714" w:rsidRPr="00ED06AE">
        <w:rPr>
          <w:rFonts w:ascii="Arial" w:hAnsi="Arial" w:cs="Arial"/>
          <w:sz w:val="20"/>
          <w:szCs w:val="20"/>
          <w:lang w:val="en-GB"/>
        </w:rPr>
        <w:t>;</w:t>
      </w:r>
    </w:p>
    <w:p w14:paraId="71CFE604" w14:textId="2FCC3F72" w:rsidR="003F4714" w:rsidRPr="00ED06AE" w:rsidRDefault="001F26CA" w:rsidP="000D1EAC">
      <w:pPr>
        <w:pStyle w:val="Odlomakpopisa"/>
        <w:widowControl w:val="0"/>
        <w:numPr>
          <w:ilvl w:val="0"/>
          <w:numId w:val="25"/>
        </w:numPr>
        <w:tabs>
          <w:tab w:val="left" w:pos="880"/>
        </w:tabs>
        <w:autoSpaceDE w:val="0"/>
        <w:autoSpaceDN w:val="0"/>
        <w:spacing w:after="0" w:line="276" w:lineRule="auto"/>
        <w:contextualSpacing w:val="0"/>
        <w:jc w:val="both"/>
        <w:rPr>
          <w:rFonts w:ascii="Arial" w:hAnsi="Arial" w:cs="Arial"/>
          <w:sz w:val="20"/>
          <w:szCs w:val="20"/>
          <w:lang w:val="en-GB"/>
        </w:rPr>
      </w:pPr>
      <w:r w:rsidRPr="00ED06AE">
        <w:rPr>
          <w:rFonts w:ascii="Arial" w:hAnsi="Arial" w:cs="Arial"/>
          <w:sz w:val="20"/>
          <w:szCs w:val="20"/>
          <w:lang w:val="en-GB"/>
        </w:rPr>
        <w:t>investments in increasing the capacities of residual waste processing, except</w:t>
      </w:r>
      <w:r w:rsidR="003F4714" w:rsidRPr="00ED06AE">
        <w:rPr>
          <w:rFonts w:ascii="Arial" w:hAnsi="Arial" w:cs="Arial"/>
          <w:sz w:val="20"/>
          <w:szCs w:val="20"/>
          <w:lang w:val="en-GB"/>
        </w:rPr>
        <w:t>:</w:t>
      </w:r>
    </w:p>
    <w:p w14:paraId="4FB8161F" w14:textId="3D36D50C" w:rsidR="003F4714" w:rsidRPr="00ED06AE" w:rsidRDefault="00B8793B" w:rsidP="000D1EAC">
      <w:pPr>
        <w:pStyle w:val="Odlomakpopisa"/>
        <w:widowControl w:val="0"/>
        <w:numPr>
          <w:ilvl w:val="0"/>
          <w:numId w:val="31"/>
        </w:numPr>
        <w:tabs>
          <w:tab w:val="left" w:pos="880"/>
        </w:tabs>
        <w:autoSpaceDE w:val="0"/>
        <w:autoSpaceDN w:val="0"/>
        <w:spacing w:after="0" w:line="276" w:lineRule="auto"/>
        <w:contextualSpacing w:val="0"/>
        <w:jc w:val="both"/>
        <w:rPr>
          <w:rFonts w:ascii="Arial" w:hAnsi="Arial" w:cs="Arial"/>
          <w:sz w:val="20"/>
          <w:szCs w:val="20"/>
          <w:lang w:val="en-GB"/>
        </w:rPr>
      </w:pPr>
      <w:r w:rsidRPr="00ED06AE">
        <w:rPr>
          <w:rFonts w:ascii="Arial" w:hAnsi="Arial" w:cs="Arial"/>
          <w:sz w:val="20"/>
          <w:szCs w:val="20"/>
          <w:lang w:val="en-GB"/>
        </w:rPr>
        <w:t>in outermost regions, only in duly justified cases</w:t>
      </w:r>
      <w:r w:rsidR="003F4714" w:rsidRPr="00ED06AE">
        <w:rPr>
          <w:rFonts w:ascii="Arial" w:hAnsi="Arial" w:cs="Arial"/>
          <w:sz w:val="20"/>
          <w:szCs w:val="20"/>
          <w:lang w:val="en-GB"/>
        </w:rPr>
        <w:t>;</w:t>
      </w:r>
    </w:p>
    <w:p w14:paraId="6435880A" w14:textId="4ADA276F" w:rsidR="003F4714" w:rsidRPr="00ED06AE" w:rsidRDefault="00ED06AE" w:rsidP="000D1EAC">
      <w:pPr>
        <w:pStyle w:val="Odlomakpopisa"/>
        <w:widowControl w:val="0"/>
        <w:numPr>
          <w:ilvl w:val="0"/>
          <w:numId w:val="31"/>
        </w:numPr>
        <w:autoSpaceDE w:val="0"/>
        <w:autoSpaceDN w:val="0"/>
        <w:spacing w:after="0" w:line="276" w:lineRule="auto"/>
        <w:contextualSpacing w:val="0"/>
        <w:jc w:val="both"/>
        <w:rPr>
          <w:rFonts w:ascii="Arial" w:hAnsi="Arial" w:cs="Arial"/>
          <w:sz w:val="20"/>
          <w:szCs w:val="20"/>
          <w:lang w:val="en-GB"/>
        </w:rPr>
      </w:pPr>
      <w:r w:rsidRPr="00ED06AE">
        <w:rPr>
          <w:rFonts w:ascii="Arial" w:hAnsi="Arial" w:cs="Arial"/>
          <w:sz w:val="20"/>
          <w:szCs w:val="20"/>
          <w:lang w:val="en-GB"/>
        </w:rPr>
        <w:t>for investments in technologies for the use of materials from residual waste for the needs of circular economy</w:t>
      </w:r>
      <w:r w:rsidR="003F4714" w:rsidRPr="00ED06AE">
        <w:rPr>
          <w:rFonts w:ascii="Arial" w:hAnsi="Arial" w:cs="Arial"/>
          <w:sz w:val="20"/>
          <w:szCs w:val="20"/>
          <w:lang w:val="en-GB"/>
        </w:rPr>
        <w:t>;</w:t>
      </w:r>
    </w:p>
    <w:p w14:paraId="74B0CD3C" w14:textId="307066D1" w:rsidR="003F4714" w:rsidRPr="00B62A87" w:rsidRDefault="00580A0F" w:rsidP="000D1EAC">
      <w:pPr>
        <w:pStyle w:val="Odlomakpopisa"/>
        <w:widowControl w:val="0"/>
        <w:numPr>
          <w:ilvl w:val="0"/>
          <w:numId w:val="25"/>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B62A87">
        <w:rPr>
          <w:rFonts w:ascii="Arial" w:hAnsi="Arial" w:cs="Arial"/>
          <w:sz w:val="20"/>
          <w:szCs w:val="20"/>
          <w:lang w:val="en-GB"/>
        </w:rPr>
        <w:t>investments relating to the production, processing, transport, distribution, warehousing or fossil fuels combustion, except in the case of</w:t>
      </w:r>
      <w:r w:rsidR="003F4714" w:rsidRPr="00B62A87">
        <w:rPr>
          <w:rFonts w:ascii="Arial" w:hAnsi="Arial" w:cs="Arial"/>
          <w:sz w:val="20"/>
          <w:szCs w:val="20"/>
          <w:lang w:val="en-GB"/>
        </w:rPr>
        <w:t>:</w:t>
      </w:r>
    </w:p>
    <w:p w14:paraId="3DBE5C53" w14:textId="02AA3614" w:rsidR="003F4714" w:rsidRPr="00B62A87" w:rsidRDefault="007445D0" w:rsidP="000D1EAC">
      <w:pPr>
        <w:pStyle w:val="Odlomakpopisa"/>
        <w:widowControl w:val="0"/>
        <w:numPr>
          <w:ilvl w:val="0"/>
          <w:numId w:val="26"/>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B62A87">
        <w:rPr>
          <w:rFonts w:ascii="Arial" w:hAnsi="Arial" w:cs="Arial"/>
          <w:sz w:val="20"/>
          <w:szCs w:val="20"/>
          <w:lang w:val="en-GB"/>
        </w:rPr>
        <w:t>replacement of heating systems using crude fossil fuels, i.e., coal, peat, lignite or oil shale, gas heating systems for the purpose of</w:t>
      </w:r>
      <w:r w:rsidR="003F4714" w:rsidRPr="00B62A87">
        <w:rPr>
          <w:rFonts w:ascii="Arial" w:hAnsi="Arial" w:cs="Arial"/>
          <w:sz w:val="20"/>
          <w:szCs w:val="20"/>
          <w:lang w:val="en-GB"/>
        </w:rPr>
        <w:t>:</w:t>
      </w:r>
    </w:p>
    <w:p w14:paraId="2AFF72C2" w14:textId="77777777" w:rsidR="00557586" w:rsidRPr="00B62A87" w:rsidRDefault="00557586" w:rsidP="00557586">
      <w:pPr>
        <w:pStyle w:val="Odlomakpopisa"/>
        <w:widowControl w:val="0"/>
        <w:numPr>
          <w:ilvl w:val="0"/>
          <w:numId w:val="27"/>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B62A87">
        <w:rPr>
          <w:rFonts w:ascii="Arial" w:hAnsi="Arial" w:cs="Arial"/>
          <w:sz w:val="20"/>
          <w:szCs w:val="20"/>
          <w:lang w:val="en-GB"/>
        </w:rPr>
        <w:t>upgrading of district heating or cooling system to the status of „efficient district heating and cooling” as defined in Article 2 item 41 of the Directive 2012/27/EU;</w:t>
      </w:r>
    </w:p>
    <w:p w14:paraId="4AE8BAC9" w14:textId="24E2557E" w:rsidR="003F4714" w:rsidRPr="00B62A87" w:rsidRDefault="00557586" w:rsidP="00557586">
      <w:pPr>
        <w:pStyle w:val="Odlomakpopisa"/>
        <w:widowControl w:val="0"/>
        <w:numPr>
          <w:ilvl w:val="0"/>
          <w:numId w:val="27"/>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B62A87">
        <w:rPr>
          <w:rFonts w:ascii="Arial" w:hAnsi="Arial" w:cs="Arial"/>
          <w:sz w:val="20"/>
          <w:szCs w:val="20"/>
          <w:lang w:val="en-GB"/>
        </w:rPr>
        <w:t>upgrading of cogeneration plants to the status of „high-efficiency cogeneration” as defined in Article 2 item 34 of the Directive 2012/27/EU</w:t>
      </w:r>
      <w:r w:rsidR="00997A5D" w:rsidRPr="00B62A87">
        <w:rPr>
          <w:rFonts w:ascii="Arial" w:hAnsi="Arial" w:cs="Arial"/>
          <w:sz w:val="20"/>
          <w:szCs w:val="20"/>
          <w:lang w:val="en-GB"/>
        </w:rPr>
        <w:t>;</w:t>
      </w:r>
    </w:p>
    <w:p w14:paraId="4504704E" w14:textId="41D7E0CB" w:rsidR="003F4714" w:rsidRPr="00B62A87" w:rsidRDefault="00464F95" w:rsidP="000D1EAC">
      <w:pPr>
        <w:pStyle w:val="Odlomakpopisa"/>
        <w:widowControl w:val="0"/>
        <w:numPr>
          <w:ilvl w:val="0"/>
          <w:numId w:val="27"/>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B62A87">
        <w:rPr>
          <w:rFonts w:ascii="Arial" w:hAnsi="Arial" w:cs="Arial"/>
          <w:sz w:val="20"/>
          <w:szCs w:val="20"/>
          <w:lang w:val="en-GB"/>
        </w:rPr>
        <w:t>investments in gas boilers and heating systems in residential facilities and buildings replacing the facilities using crude fossil fuels, i.e., coal, peat, lignite or oil shale</w:t>
      </w:r>
      <w:r w:rsidR="003F4714" w:rsidRPr="00B62A87">
        <w:rPr>
          <w:rFonts w:ascii="Arial" w:hAnsi="Arial" w:cs="Arial"/>
          <w:sz w:val="20"/>
          <w:szCs w:val="20"/>
          <w:lang w:val="en-GB"/>
        </w:rPr>
        <w:t>;</w:t>
      </w:r>
    </w:p>
    <w:p w14:paraId="56554689" w14:textId="791D2437" w:rsidR="003F4714" w:rsidRPr="00B62A87" w:rsidRDefault="00B62A87" w:rsidP="000D1EAC">
      <w:pPr>
        <w:pStyle w:val="Odlomakpopisa"/>
        <w:widowControl w:val="0"/>
        <w:numPr>
          <w:ilvl w:val="0"/>
          <w:numId w:val="26"/>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B62A87">
        <w:rPr>
          <w:rFonts w:ascii="Arial" w:hAnsi="Arial" w:cs="Arial"/>
          <w:sz w:val="20"/>
          <w:szCs w:val="20"/>
          <w:lang w:val="en-GB"/>
        </w:rPr>
        <w:t xml:space="preserve">investments in extension and conversion, transformation or retrofitting </w:t>
      </w:r>
      <w:r w:rsidR="00DC2D44">
        <w:rPr>
          <w:rFonts w:ascii="Arial" w:hAnsi="Arial" w:cs="Arial"/>
          <w:sz w:val="20"/>
          <w:szCs w:val="20"/>
          <w:lang w:val="en-GB"/>
        </w:rPr>
        <w:t xml:space="preserve">of </w:t>
      </w:r>
      <w:r w:rsidRPr="00B62A87">
        <w:rPr>
          <w:rFonts w:ascii="Arial" w:hAnsi="Arial" w:cs="Arial"/>
          <w:sz w:val="20"/>
          <w:szCs w:val="20"/>
          <w:lang w:val="en-GB"/>
        </w:rPr>
        <w:t>transformation network and gas distribution, provided that by such investments, networks are equipped for adding into the system gases from renewable energy sources and low CO2 emission gases, such as hydrogen, biomethane and derived gas, and that the replacement of plants using crude fossil fuels is enabled</w:t>
      </w:r>
      <w:r w:rsidR="003F4714" w:rsidRPr="00B62A87">
        <w:rPr>
          <w:rFonts w:ascii="Arial" w:hAnsi="Arial" w:cs="Arial"/>
          <w:sz w:val="20"/>
          <w:szCs w:val="20"/>
          <w:lang w:val="en-GB"/>
        </w:rPr>
        <w:t>;</w:t>
      </w:r>
    </w:p>
    <w:p w14:paraId="207FECAF" w14:textId="6AA94FFE" w:rsidR="003F4714" w:rsidRPr="00CC32ED" w:rsidRDefault="00357C16" w:rsidP="000D1EAC">
      <w:pPr>
        <w:pStyle w:val="Odlomakpopisa"/>
        <w:widowControl w:val="0"/>
        <w:numPr>
          <w:ilvl w:val="0"/>
          <w:numId w:val="26"/>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CC32ED">
        <w:rPr>
          <w:rFonts w:ascii="Arial" w:hAnsi="Arial" w:cs="Arial"/>
          <w:sz w:val="20"/>
          <w:szCs w:val="20"/>
          <w:lang w:val="en-GB"/>
        </w:rPr>
        <w:t>investments in</w:t>
      </w:r>
      <w:r w:rsidR="003F4714" w:rsidRPr="00CC32ED">
        <w:rPr>
          <w:rFonts w:ascii="Arial" w:hAnsi="Arial" w:cs="Arial"/>
          <w:sz w:val="20"/>
          <w:szCs w:val="20"/>
          <w:lang w:val="en-GB"/>
        </w:rPr>
        <w:t>:</w:t>
      </w:r>
    </w:p>
    <w:p w14:paraId="66A7B32A" w14:textId="514755D1" w:rsidR="003F4714" w:rsidRPr="001A7DCD" w:rsidRDefault="00D91334" w:rsidP="000D1EAC">
      <w:pPr>
        <w:pStyle w:val="Odlomakpopisa"/>
        <w:widowControl w:val="0"/>
        <w:numPr>
          <w:ilvl w:val="0"/>
          <w:numId w:val="28"/>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CC32ED">
        <w:rPr>
          <w:rFonts w:ascii="Arial" w:hAnsi="Arial" w:cs="Arial"/>
          <w:sz w:val="20"/>
          <w:szCs w:val="20"/>
          <w:lang w:val="en-GB"/>
        </w:rPr>
        <w:t>clean vehicles, as defined in special</w:t>
      </w:r>
      <w:r>
        <w:rPr>
          <w:rFonts w:ascii="Arial" w:hAnsi="Arial" w:cs="Arial"/>
          <w:sz w:val="20"/>
          <w:szCs w:val="20"/>
          <w:lang w:val="en-GB"/>
        </w:rPr>
        <w:t xml:space="preserve"> regulations</w:t>
      </w:r>
      <w:r w:rsidR="00631E8F">
        <w:rPr>
          <w:rFonts w:ascii="Arial" w:hAnsi="Arial" w:cs="Arial"/>
          <w:sz w:val="20"/>
          <w:szCs w:val="20"/>
          <w:lang w:val="en-GB"/>
        </w:rPr>
        <w:t xml:space="preserve">, i.e. in the </w:t>
      </w:r>
      <w:r w:rsidR="00807E26">
        <w:rPr>
          <w:rFonts w:ascii="Arial" w:hAnsi="Arial" w:cs="Arial"/>
          <w:sz w:val="20"/>
          <w:szCs w:val="20"/>
          <w:lang w:val="en-GB"/>
        </w:rPr>
        <w:t>Act on the Promotion of Clean Vehicles</w:t>
      </w:r>
      <w:r w:rsidR="00997A5D" w:rsidRPr="001A7DCD">
        <w:rPr>
          <w:rFonts w:ascii="Arial" w:hAnsi="Arial" w:cs="Arial"/>
          <w:sz w:val="20"/>
          <w:szCs w:val="20"/>
          <w:lang w:val="en-GB"/>
        </w:rPr>
        <w:t xml:space="preserve"> </w:t>
      </w:r>
      <w:r w:rsidR="006603B3">
        <w:rPr>
          <w:rFonts w:ascii="Arial" w:hAnsi="Arial" w:cs="Arial"/>
          <w:sz w:val="20"/>
          <w:szCs w:val="20"/>
          <w:lang w:val="en-GB"/>
        </w:rPr>
        <w:t>in Road Transport</w:t>
      </w:r>
      <w:r w:rsidR="00997A5D" w:rsidRPr="001A7DCD">
        <w:rPr>
          <w:rFonts w:ascii="Arial" w:hAnsi="Arial" w:cs="Arial"/>
          <w:sz w:val="20"/>
          <w:szCs w:val="20"/>
          <w:lang w:val="en-GB"/>
        </w:rPr>
        <w:t xml:space="preserve"> </w:t>
      </w:r>
      <w:r w:rsidR="00631E8F">
        <w:rPr>
          <w:rFonts w:ascii="Arial" w:hAnsi="Arial" w:cs="Arial"/>
          <w:sz w:val="20"/>
          <w:szCs w:val="20"/>
          <w:lang w:val="en-GB"/>
        </w:rPr>
        <w:t>and in the Directive</w:t>
      </w:r>
      <w:r w:rsidR="003F4714" w:rsidRPr="001A7DCD">
        <w:rPr>
          <w:rFonts w:ascii="Arial" w:hAnsi="Arial" w:cs="Arial"/>
          <w:sz w:val="20"/>
          <w:szCs w:val="20"/>
          <w:lang w:val="en-GB"/>
        </w:rPr>
        <w:t xml:space="preserve"> 2009/33/E</w:t>
      </w:r>
      <w:r w:rsidR="00631E8F">
        <w:rPr>
          <w:rFonts w:ascii="Arial" w:hAnsi="Arial" w:cs="Arial"/>
          <w:sz w:val="20"/>
          <w:szCs w:val="20"/>
          <w:lang w:val="en-GB"/>
        </w:rPr>
        <w:t>C of the European Parliament and the Council</w:t>
      </w:r>
      <w:r w:rsidR="003F4714" w:rsidRPr="001A7DCD">
        <w:rPr>
          <w:rFonts w:ascii="Arial" w:hAnsi="Arial" w:cs="Arial"/>
          <w:sz w:val="20"/>
          <w:szCs w:val="20"/>
          <w:lang w:val="en-GB"/>
        </w:rPr>
        <w:t xml:space="preserve">, </w:t>
      </w:r>
      <w:r w:rsidR="00631E8F">
        <w:rPr>
          <w:rFonts w:ascii="Arial" w:hAnsi="Arial" w:cs="Arial"/>
          <w:sz w:val="20"/>
          <w:szCs w:val="20"/>
          <w:lang w:val="en-GB"/>
        </w:rPr>
        <w:t>for public purposes</w:t>
      </w:r>
      <w:r w:rsidR="003F4714" w:rsidRPr="001A7DCD">
        <w:rPr>
          <w:rFonts w:ascii="Arial" w:hAnsi="Arial" w:cs="Arial"/>
          <w:sz w:val="20"/>
          <w:szCs w:val="20"/>
          <w:lang w:val="en-GB"/>
        </w:rPr>
        <w:t xml:space="preserve">; </w:t>
      </w:r>
      <w:r w:rsidR="00631E8F">
        <w:rPr>
          <w:rFonts w:ascii="Arial" w:hAnsi="Arial" w:cs="Arial"/>
          <w:sz w:val="20"/>
          <w:szCs w:val="20"/>
          <w:lang w:val="en-GB"/>
        </w:rPr>
        <w:t>and</w:t>
      </w:r>
    </w:p>
    <w:p w14:paraId="145F3F46" w14:textId="1E9CC83D" w:rsidR="005E6039" w:rsidRPr="00D857D8" w:rsidRDefault="00D857D8" w:rsidP="000D1EAC">
      <w:pPr>
        <w:pStyle w:val="Odlomakpopisa"/>
        <w:widowControl w:val="0"/>
        <w:numPr>
          <w:ilvl w:val="0"/>
          <w:numId w:val="28"/>
        </w:numPr>
        <w:tabs>
          <w:tab w:val="left" w:pos="879"/>
          <w:tab w:val="left" w:pos="880"/>
        </w:tabs>
        <w:autoSpaceDE w:val="0"/>
        <w:autoSpaceDN w:val="0"/>
        <w:spacing w:before="1" w:after="0" w:line="276" w:lineRule="auto"/>
        <w:contextualSpacing w:val="0"/>
        <w:jc w:val="both"/>
        <w:rPr>
          <w:rFonts w:ascii="Arial" w:hAnsi="Arial" w:cs="Arial"/>
          <w:sz w:val="20"/>
          <w:szCs w:val="20"/>
          <w:lang w:val="en-GB"/>
        </w:rPr>
      </w:pPr>
      <w:r w:rsidRPr="00D857D8">
        <w:rPr>
          <w:rFonts w:ascii="Arial" w:hAnsi="Arial" w:cs="Arial"/>
          <w:sz w:val="20"/>
          <w:szCs w:val="20"/>
          <w:lang w:val="en-GB"/>
        </w:rPr>
        <w:t>vehicles, aircrafts and vessels designed and constructed or adjusted for the use by civil protection and fire services</w:t>
      </w:r>
      <w:r w:rsidR="003F4714" w:rsidRPr="00D857D8">
        <w:rPr>
          <w:rFonts w:ascii="Arial" w:hAnsi="Arial" w:cs="Arial"/>
          <w:sz w:val="20"/>
          <w:szCs w:val="20"/>
          <w:lang w:val="en-GB"/>
        </w:rPr>
        <w:t>;</w:t>
      </w:r>
    </w:p>
    <w:p w14:paraId="7A827666" w14:textId="26F5B8EC" w:rsidR="00AC75E5" w:rsidRPr="001A7DCD" w:rsidRDefault="00112407" w:rsidP="000D1EAC">
      <w:pPr>
        <w:pStyle w:val="Odlomakpopisa"/>
        <w:widowControl w:val="0"/>
        <w:numPr>
          <w:ilvl w:val="0"/>
          <w:numId w:val="25"/>
        </w:numPr>
        <w:tabs>
          <w:tab w:val="left" w:pos="879"/>
          <w:tab w:val="left" w:pos="880"/>
        </w:tabs>
        <w:autoSpaceDE w:val="0"/>
        <w:autoSpaceDN w:val="0"/>
        <w:spacing w:before="1" w:after="0" w:line="276" w:lineRule="auto"/>
        <w:jc w:val="both"/>
        <w:rPr>
          <w:rFonts w:ascii="Arial" w:hAnsi="Arial" w:cs="Arial"/>
          <w:sz w:val="20"/>
          <w:szCs w:val="20"/>
          <w:lang w:val="en-GB"/>
        </w:rPr>
      </w:pPr>
      <w:r>
        <w:rPr>
          <w:rFonts w:ascii="Arial" w:hAnsi="Arial" w:cs="Arial"/>
          <w:sz w:val="20"/>
          <w:szCs w:val="20"/>
          <w:lang w:val="en-GB"/>
        </w:rPr>
        <w:lastRenderedPageBreak/>
        <w:t>I</w:t>
      </w:r>
      <w:r w:rsidR="00851309">
        <w:rPr>
          <w:rFonts w:ascii="Arial" w:hAnsi="Arial" w:cs="Arial"/>
          <w:sz w:val="20"/>
          <w:szCs w:val="20"/>
          <w:lang w:val="en-GB"/>
        </w:rPr>
        <w:t>nvestment</w:t>
      </w:r>
      <w:r>
        <w:rPr>
          <w:rFonts w:ascii="Arial" w:hAnsi="Arial" w:cs="Arial"/>
          <w:sz w:val="20"/>
          <w:szCs w:val="20"/>
          <w:lang w:val="en-GB"/>
        </w:rPr>
        <w:t>s</w:t>
      </w:r>
      <w:r w:rsidR="00851309">
        <w:rPr>
          <w:rFonts w:ascii="Arial" w:hAnsi="Arial" w:cs="Arial"/>
          <w:sz w:val="20"/>
          <w:szCs w:val="20"/>
          <w:lang w:val="en-GB"/>
        </w:rPr>
        <w:t xml:space="preserve"> </w:t>
      </w:r>
      <w:r w:rsidR="007F3F12">
        <w:rPr>
          <w:rFonts w:ascii="Arial" w:hAnsi="Arial" w:cs="Arial"/>
          <w:sz w:val="20"/>
          <w:szCs w:val="20"/>
          <w:lang w:val="en-GB"/>
        </w:rPr>
        <w:t>involving activities that were part</w:t>
      </w:r>
      <w:r w:rsidR="0069565F">
        <w:rPr>
          <w:rFonts w:ascii="Arial" w:hAnsi="Arial" w:cs="Arial"/>
          <w:sz w:val="20"/>
          <w:szCs w:val="20"/>
          <w:lang w:val="en-GB"/>
        </w:rPr>
        <w:t xml:space="preserve"> of an operation that was the subject of</w:t>
      </w:r>
      <w:r w:rsidR="00401DF4">
        <w:rPr>
          <w:rFonts w:ascii="Arial" w:hAnsi="Arial" w:cs="Arial"/>
          <w:sz w:val="20"/>
          <w:szCs w:val="20"/>
          <w:lang w:val="en-GB"/>
        </w:rPr>
        <w:t xml:space="preserve"> a relocation in accordance with Article</w:t>
      </w:r>
      <w:r w:rsidR="001E4346" w:rsidRPr="001A7DCD">
        <w:rPr>
          <w:rFonts w:ascii="Arial" w:hAnsi="Arial" w:cs="Arial"/>
          <w:sz w:val="20"/>
          <w:szCs w:val="20"/>
          <w:lang w:val="en-GB"/>
        </w:rPr>
        <w:t xml:space="preserve"> 66</w:t>
      </w:r>
      <w:r w:rsidR="00401DF4">
        <w:rPr>
          <w:rFonts w:ascii="Arial" w:hAnsi="Arial" w:cs="Arial"/>
          <w:sz w:val="20"/>
          <w:szCs w:val="20"/>
          <w:lang w:val="en-GB"/>
        </w:rPr>
        <w:t xml:space="preserve"> or that would constitute a relocation of manufacturing activity </w:t>
      </w:r>
      <w:r w:rsidR="00F3361B">
        <w:rPr>
          <w:rFonts w:ascii="Arial" w:hAnsi="Arial" w:cs="Arial"/>
          <w:sz w:val="20"/>
          <w:szCs w:val="20"/>
          <w:lang w:val="en-GB"/>
        </w:rPr>
        <w:t>in accordance with Article</w:t>
      </w:r>
      <w:r w:rsidR="001E4346" w:rsidRPr="001A7DCD">
        <w:rPr>
          <w:rFonts w:ascii="Arial" w:hAnsi="Arial" w:cs="Arial"/>
          <w:sz w:val="20"/>
          <w:szCs w:val="20"/>
          <w:lang w:val="en-GB"/>
        </w:rPr>
        <w:t xml:space="preserve"> 65</w:t>
      </w:r>
      <w:r w:rsidR="00F3361B">
        <w:rPr>
          <w:rFonts w:ascii="Arial" w:hAnsi="Arial" w:cs="Arial"/>
          <w:sz w:val="20"/>
          <w:szCs w:val="20"/>
          <w:lang w:val="en-GB"/>
        </w:rPr>
        <w:t xml:space="preserve"> paragraph</w:t>
      </w:r>
      <w:r w:rsidR="001E4346" w:rsidRPr="001A7DCD">
        <w:rPr>
          <w:rFonts w:ascii="Arial" w:hAnsi="Arial" w:cs="Arial"/>
          <w:sz w:val="20"/>
          <w:szCs w:val="20"/>
          <w:lang w:val="en-GB"/>
        </w:rPr>
        <w:t xml:space="preserve"> 1</w:t>
      </w:r>
      <w:r w:rsidR="00F3361B">
        <w:rPr>
          <w:rFonts w:ascii="Arial" w:hAnsi="Arial" w:cs="Arial"/>
          <w:sz w:val="20"/>
          <w:szCs w:val="20"/>
          <w:lang w:val="en-GB"/>
        </w:rPr>
        <w:t xml:space="preserve"> item</w:t>
      </w:r>
      <w:r w:rsidR="001E4346" w:rsidRPr="001A7DCD">
        <w:rPr>
          <w:rFonts w:ascii="Arial" w:hAnsi="Arial" w:cs="Arial"/>
          <w:sz w:val="20"/>
          <w:szCs w:val="20"/>
          <w:lang w:val="en-GB"/>
        </w:rPr>
        <w:t xml:space="preserve"> (a) </w:t>
      </w:r>
      <w:r w:rsidR="00F3361B">
        <w:rPr>
          <w:rFonts w:ascii="Arial" w:hAnsi="Arial" w:cs="Arial"/>
          <w:sz w:val="20"/>
          <w:szCs w:val="20"/>
          <w:lang w:val="en-GB"/>
        </w:rPr>
        <w:t xml:space="preserve">of the Regulation </w:t>
      </w:r>
      <w:r w:rsidR="001E4346" w:rsidRPr="001A7DCD">
        <w:rPr>
          <w:rFonts w:ascii="Arial" w:hAnsi="Arial" w:cs="Arial"/>
          <w:sz w:val="20"/>
          <w:szCs w:val="20"/>
          <w:lang w:val="en-GB"/>
        </w:rPr>
        <w:t>(EU) 2021/1060</w:t>
      </w:r>
      <w:r w:rsidR="001A0189" w:rsidRPr="001A7DCD">
        <w:rPr>
          <w:rFonts w:ascii="Arial" w:hAnsi="Arial" w:cs="Arial"/>
          <w:sz w:val="20"/>
          <w:szCs w:val="20"/>
          <w:lang w:val="en-GB"/>
        </w:rPr>
        <w:t>;</w:t>
      </w:r>
    </w:p>
    <w:p w14:paraId="2C27D063" w14:textId="17879035" w:rsidR="00AC75E5" w:rsidRPr="001A7DCD" w:rsidRDefault="00E72AC8" w:rsidP="000D1EAC">
      <w:pPr>
        <w:pStyle w:val="Odlomakpopisa"/>
        <w:widowControl w:val="0"/>
        <w:numPr>
          <w:ilvl w:val="0"/>
          <w:numId w:val="25"/>
        </w:numPr>
        <w:tabs>
          <w:tab w:val="left" w:pos="879"/>
          <w:tab w:val="left" w:pos="880"/>
        </w:tabs>
        <w:autoSpaceDE w:val="0"/>
        <w:autoSpaceDN w:val="0"/>
        <w:spacing w:before="1" w:after="0" w:line="276" w:lineRule="auto"/>
        <w:jc w:val="both"/>
        <w:rPr>
          <w:rFonts w:ascii="Arial" w:hAnsi="Arial" w:cs="Arial"/>
          <w:sz w:val="20"/>
          <w:szCs w:val="20"/>
          <w:lang w:val="en-GB"/>
        </w:rPr>
      </w:pPr>
      <w:r>
        <w:rPr>
          <w:rFonts w:ascii="Arial" w:hAnsi="Arial" w:cs="Arial"/>
          <w:sz w:val="20"/>
          <w:szCs w:val="20"/>
          <w:lang w:val="en-GB"/>
        </w:rPr>
        <w:t>Investments directly affected by a reasoned opinion of the Commission</w:t>
      </w:r>
      <w:r w:rsidR="00400489">
        <w:rPr>
          <w:rFonts w:ascii="Arial" w:hAnsi="Arial" w:cs="Arial"/>
          <w:sz w:val="20"/>
          <w:szCs w:val="20"/>
          <w:lang w:val="en-GB"/>
        </w:rPr>
        <w:t xml:space="preserve"> regarding an infringement in accordance with Article</w:t>
      </w:r>
      <w:r w:rsidR="001E4346" w:rsidRPr="001A7DCD">
        <w:rPr>
          <w:rFonts w:ascii="Arial" w:hAnsi="Arial" w:cs="Arial"/>
          <w:sz w:val="20"/>
          <w:szCs w:val="20"/>
          <w:lang w:val="en-GB"/>
        </w:rPr>
        <w:t xml:space="preserve"> 258</w:t>
      </w:r>
      <w:r w:rsidR="00400489">
        <w:rPr>
          <w:rFonts w:ascii="Arial" w:hAnsi="Arial" w:cs="Arial"/>
          <w:sz w:val="20"/>
          <w:szCs w:val="20"/>
          <w:lang w:val="en-GB"/>
        </w:rPr>
        <w:t xml:space="preserve"> of the </w:t>
      </w:r>
      <w:r w:rsidR="00281274">
        <w:rPr>
          <w:rFonts w:ascii="Arial" w:hAnsi="Arial" w:cs="Arial"/>
          <w:sz w:val="20"/>
          <w:szCs w:val="20"/>
          <w:lang w:val="en-GB"/>
        </w:rPr>
        <w:t>Tr</w:t>
      </w:r>
      <w:r w:rsidR="00400489">
        <w:rPr>
          <w:rFonts w:ascii="Arial" w:hAnsi="Arial" w:cs="Arial"/>
          <w:sz w:val="20"/>
          <w:szCs w:val="20"/>
          <w:lang w:val="en-GB"/>
        </w:rPr>
        <w:t>eaty</w:t>
      </w:r>
      <w:r w:rsidR="00281274">
        <w:rPr>
          <w:rFonts w:ascii="Arial" w:hAnsi="Arial" w:cs="Arial"/>
          <w:sz w:val="20"/>
          <w:szCs w:val="20"/>
          <w:lang w:val="en-GB"/>
        </w:rPr>
        <w:t xml:space="preserve"> on the Functioning</w:t>
      </w:r>
      <w:r w:rsidR="00AC6FC0">
        <w:rPr>
          <w:rFonts w:ascii="Arial" w:hAnsi="Arial" w:cs="Arial"/>
          <w:sz w:val="20"/>
          <w:szCs w:val="20"/>
          <w:lang w:val="en-GB"/>
        </w:rPr>
        <w:t xml:space="preserve"> </w:t>
      </w:r>
      <w:r w:rsidR="00281274">
        <w:rPr>
          <w:rFonts w:ascii="Arial" w:hAnsi="Arial" w:cs="Arial"/>
          <w:sz w:val="20"/>
          <w:szCs w:val="20"/>
          <w:lang w:val="en-GB"/>
        </w:rPr>
        <w:t>of the European Union (TFEU)</w:t>
      </w:r>
      <w:r w:rsidR="001E4346" w:rsidRPr="001A7DCD">
        <w:rPr>
          <w:rFonts w:ascii="Arial" w:hAnsi="Arial" w:cs="Arial"/>
          <w:sz w:val="20"/>
          <w:szCs w:val="20"/>
          <w:lang w:val="en-GB"/>
        </w:rPr>
        <w:t xml:space="preserve"> </w:t>
      </w:r>
      <w:r w:rsidR="00AC6FC0">
        <w:rPr>
          <w:rFonts w:ascii="Arial" w:hAnsi="Arial" w:cs="Arial"/>
          <w:sz w:val="20"/>
          <w:szCs w:val="20"/>
          <w:lang w:val="en-GB"/>
        </w:rPr>
        <w:t xml:space="preserve">that jeopardises the legality and regularity of the expenditure or </w:t>
      </w:r>
      <w:r w:rsidR="00120A4E">
        <w:rPr>
          <w:rFonts w:ascii="Arial" w:hAnsi="Arial" w:cs="Arial"/>
          <w:sz w:val="20"/>
          <w:szCs w:val="20"/>
          <w:lang w:val="en-GB"/>
        </w:rPr>
        <w:t xml:space="preserve">the </w:t>
      </w:r>
      <w:r w:rsidR="001E4346" w:rsidRPr="001A7DCD">
        <w:rPr>
          <w:rFonts w:ascii="Arial" w:hAnsi="Arial" w:cs="Arial"/>
          <w:sz w:val="20"/>
          <w:szCs w:val="20"/>
          <w:lang w:val="en-GB"/>
        </w:rPr>
        <w:t xml:space="preserve"> </w:t>
      </w:r>
      <w:r w:rsidR="00120A4E">
        <w:rPr>
          <w:rFonts w:ascii="Arial" w:hAnsi="Arial" w:cs="Arial"/>
          <w:sz w:val="20"/>
          <w:szCs w:val="20"/>
          <w:lang w:val="en-GB"/>
        </w:rPr>
        <w:t>effectiveness of operations</w:t>
      </w:r>
      <w:r w:rsidR="001A0189" w:rsidRPr="001A7DCD">
        <w:rPr>
          <w:rFonts w:ascii="Arial" w:hAnsi="Arial" w:cs="Arial"/>
          <w:sz w:val="20"/>
          <w:szCs w:val="20"/>
          <w:lang w:val="en-GB"/>
        </w:rPr>
        <w:t>;</w:t>
      </w:r>
    </w:p>
    <w:p w14:paraId="4648746C" w14:textId="656EBC03" w:rsidR="00AC75E5" w:rsidRPr="001A7DCD" w:rsidRDefault="00A15E3F" w:rsidP="000D1EAC">
      <w:pPr>
        <w:pStyle w:val="Odlomakpopisa"/>
        <w:widowControl w:val="0"/>
        <w:numPr>
          <w:ilvl w:val="0"/>
          <w:numId w:val="25"/>
        </w:numPr>
        <w:tabs>
          <w:tab w:val="left" w:pos="879"/>
          <w:tab w:val="left" w:pos="880"/>
        </w:tabs>
        <w:autoSpaceDE w:val="0"/>
        <w:autoSpaceDN w:val="0"/>
        <w:spacing w:before="1" w:after="0" w:line="276" w:lineRule="auto"/>
        <w:jc w:val="both"/>
        <w:rPr>
          <w:rFonts w:ascii="Arial" w:hAnsi="Arial" w:cs="Arial"/>
          <w:sz w:val="20"/>
          <w:szCs w:val="20"/>
          <w:lang w:val="en-GB"/>
        </w:rPr>
      </w:pPr>
      <w:r>
        <w:rPr>
          <w:rFonts w:ascii="Arial" w:eastAsia="Arial" w:hAnsi="Arial" w:cs="Arial"/>
          <w:kern w:val="0"/>
          <w:sz w:val="20"/>
          <w:szCs w:val="20"/>
          <w:lang w:val="en-GB"/>
          <w14:ligatures w14:val="none"/>
        </w:rPr>
        <w:t xml:space="preserve">Costs related </w:t>
      </w:r>
      <w:r w:rsidR="002B7E21">
        <w:rPr>
          <w:rFonts w:ascii="Arial" w:eastAsia="Arial" w:hAnsi="Arial" w:cs="Arial"/>
          <w:kern w:val="0"/>
          <w:sz w:val="20"/>
          <w:szCs w:val="20"/>
          <w:lang w:val="en-GB"/>
          <w14:ligatures w14:val="none"/>
        </w:rPr>
        <w:t xml:space="preserve">to investments that do not meet specific conditions related to compliance with the </w:t>
      </w:r>
      <w:r w:rsidR="00337F41" w:rsidRPr="001A7DCD">
        <w:rPr>
          <w:rFonts w:ascii="Arial" w:eastAsia="Arial" w:hAnsi="Arial" w:cs="Arial"/>
          <w:kern w:val="0"/>
          <w:sz w:val="20"/>
          <w:szCs w:val="20"/>
          <w:lang w:val="en-GB"/>
          <w14:ligatures w14:val="none"/>
        </w:rPr>
        <w:t xml:space="preserve">Do No Significant Harm </w:t>
      </w:r>
      <w:r w:rsidR="002B7E21">
        <w:rPr>
          <w:rFonts w:ascii="Arial" w:eastAsia="Arial" w:hAnsi="Arial" w:cs="Arial"/>
          <w:kern w:val="0"/>
          <w:sz w:val="20"/>
          <w:szCs w:val="20"/>
          <w:lang w:val="en-GB"/>
          <w14:ligatures w14:val="none"/>
        </w:rPr>
        <w:t>principle</w:t>
      </w:r>
      <w:r w:rsidR="005959D3">
        <w:rPr>
          <w:rFonts w:ascii="Arial" w:eastAsia="Arial" w:hAnsi="Arial" w:cs="Arial"/>
          <w:kern w:val="0"/>
          <w:sz w:val="20"/>
          <w:szCs w:val="20"/>
          <w:lang w:val="en-GB"/>
          <w14:ligatures w14:val="none"/>
        </w:rPr>
        <w:t xml:space="preserve"> (</w:t>
      </w:r>
      <w:r w:rsidR="00337F41" w:rsidRPr="001A7DCD">
        <w:rPr>
          <w:rFonts w:ascii="Arial" w:eastAsia="Arial" w:hAnsi="Arial" w:cs="Arial"/>
          <w:kern w:val="0"/>
          <w:sz w:val="20"/>
          <w:szCs w:val="20"/>
          <w:lang w:val="en-GB"/>
          <w14:ligatures w14:val="none"/>
        </w:rPr>
        <w:t>DNSH)</w:t>
      </w:r>
      <w:r w:rsidR="001A0189" w:rsidRPr="001A7DCD">
        <w:rPr>
          <w:rFonts w:ascii="Arial" w:eastAsia="Arial" w:hAnsi="Arial" w:cs="Arial"/>
          <w:kern w:val="0"/>
          <w:sz w:val="20"/>
          <w:szCs w:val="20"/>
          <w:lang w:val="en-GB"/>
          <w14:ligatures w14:val="none"/>
        </w:rPr>
        <w:t>;</w:t>
      </w:r>
    </w:p>
    <w:p w14:paraId="00BA359A" w14:textId="37A570D1" w:rsidR="00AC75E5" w:rsidRPr="001A7DCD" w:rsidRDefault="005959D3" w:rsidP="000D1EAC">
      <w:pPr>
        <w:pStyle w:val="Odlomakpopisa"/>
        <w:widowControl w:val="0"/>
        <w:numPr>
          <w:ilvl w:val="0"/>
          <w:numId w:val="25"/>
        </w:numPr>
        <w:tabs>
          <w:tab w:val="left" w:pos="879"/>
          <w:tab w:val="left" w:pos="880"/>
        </w:tabs>
        <w:autoSpaceDE w:val="0"/>
        <w:autoSpaceDN w:val="0"/>
        <w:spacing w:before="1" w:after="0" w:line="276" w:lineRule="auto"/>
        <w:jc w:val="both"/>
        <w:rPr>
          <w:rFonts w:ascii="Arial" w:hAnsi="Arial" w:cs="Arial"/>
          <w:sz w:val="20"/>
          <w:szCs w:val="20"/>
          <w:lang w:val="en-GB"/>
        </w:rPr>
      </w:pPr>
      <w:r>
        <w:rPr>
          <w:rFonts w:ascii="Arial" w:hAnsi="Arial" w:cs="Arial"/>
          <w:sz w:val="20"/>
          <w:szCs w:val="20"/>
          <w:lang w:val="en-GB"/>
        </w:rPr>
        <w:t>Investments in infrastructure with an expected lifetime of at least five years</w:t>
      </w:r>
      <w:r w:rsidR="00337F41" w:rsidRPr="001A7DCD">
        <w:rPr>
          <w:rFonts w:ascii="Arial" w:hAnsi="Arial" w:cs="Arial"/>
          <w:sz w:val="20"/>
          <w:szCs w:val="20"/>
          <w:lang w:val="en-GB"/>
        </w:rPr>
        <w:t xml:space="preserve">, </w:t>
      </w:r>
      <w:r w:rsidR="00354FB6" w:rsidRPr="001A7DCD">
        <w:rPr>
          <w:rFonts w:ascii="Arial" w:hAnsi="Arial" w:cs="Arial"/>
          <w:sz w:val="20"/>
          <w:szCs w:val="20"/>
          <w:lang w:val="en-GB"/>
        </w:rPr>
        <w:t>a</w:t>
      </w:r>
      <w:r w:rsidR="00BA12F0">
        <w:rPr>
          <w:rFonts w:ascii="Arial" w:hAnsi="Arial" w:cs="Arial"/>
          <w:sz w:val="20"/>
          <w:szCs w:val="20"/>
          <w:lang w:val="en-GB"/>
        </w:rPr>
        <w:t xml:space="preserve">nd for which the infrastructure is not ensured </w:t>
      </w:r>
      <w:r w:rsidR="00A10F52">
        <w:rPr>
          <w:rFonts w:ascii="Arial" w:hAnsi="Arial" w:cs="Arial"/>
          <w:sz w:val="20"/>
          <w:szCs w:val="20"/>
          <w:lang w:val="en-GB"/>
        </w:rPr>
        <w:t>to be climate-resilient</w:t>
      </w:r>
      <w:r w:rsidR="001A0189" w:rsidRPr="001A7DCD">
        <w:rPr>
          <w:rFonts w:ascii="Arial" w:hAnsi="Arial" w:cs="Arial"/>
          <w:sz w:val="20"/>
          <w:szCs w:val="20"/>
          <w:lang w:val="en-GB"/>
        </w:rPr>
        <w:t>;</w:t>
      </w:r>
      <w:r w:rsidR="00337F41" w:rsidRPr="001A7DCD">
        <w:rPr>
          <w:rFonts w:ascii="Arial" w:hAnsi="Arial" w:cs="Arial"/>
          <w:sz w:val="20"/>
          <w:szCs w:val="20"/>
          <w:lang w:val="en-GB"/>
        </w:rPr>
        <w:t xml:space="preserve"> </w:t>
      </w:r>
    </w:p>
    <w:p w14:paraId="758BEC9C" w14:textId="3326DE39" w:rsidR="00CB5281" w:rsidRPr="001A7DCD" w:rsidRDefault="00D55711" w:rsidP="000D1EAC">
      <w:pPr>
        <w:pStyle w:val="Odlomakpopisa"/>
        <w:widowControl w:val="0"/>
        <w:numPr>
          <w:ilvl w:val="0"/>
          <w:numId w:val="25"/>
        </w:numPr>
        <w:tabs>
          <w:tab w:val="left" w:pos="879"/>
          <w:tab w:val="left" w:pos="880"/>
        </w:tabs>
        <w:autoSpaceDE w:val="0"/>
        <w:autoSpaceDN w:val="0"/>
        <w:spacing w:before="1" w:after="0" w:line="276" w:lineRule="auto"/>
        <w:jc w:val="both"/>
        <w:rPr>
          <w:rStyle w:val="ui-provider"/>
          <w:rFonts w:ascii="Arial" w:hAnsi="Arial" w:cs="Arial"/>
          <w:sz w:val="18"/>
          <w:szCs w:val="18"/>
          <w:lang w:val="en-GB"/>
        </w:rPr>
      </w:pPr>
      <w:r>
        <w:rPr>
          <w:rStyle w:val="ui-provider"/>
          <w:rFonts w:ascii="Arial" w:hAnsi="Arial" w:cs="Arial"/>
          <w:sz w:val="20"/>
          <w:szCs w:val="20"/>
          <w:lang w:val="en-GB"/>
        </w:rPr>
        <w:t xml:space="preserve">Investments covered </w:t>
      </w:r>
      <w:r w:rsidR="00292940">
        <w:rPr>
          <w:rStyle w:val="ui-provider"/>
          <w:rFonts w:ascii="Arial" w:hAnsi="Arial" w:cs="Arial"/>
          <w:sz w:val="20"/>
          <w:szCs w:val="20"/>
          <w:lang w:val="en-GB"/>
        </w:rPr>
        <w:t xml:space="preserve">by the scope of the Environmental Protection Act and other </w:t>
      </w:r>
      <w:r w:rsidR="004808A6">
        <w:rPr>
          <w:rStyle w:val="ui-provider"/>
          <w:rFonts w:ascii="Arial" w:hAnsi="Arial" w:cs="Arial"/>
          <w:sz w:val="20"/>
          <w:szCs w:val="20"/>
          <w:lang w:val="en-GB"/>
        </w:rPr>
        <w:t>regulations/secondary legislation</w:t>
      </w:r>
      <w:r w:rsidR="00787DEB">
        <w:rPr>
          <w:rStyle w:val="ui-provider"/>
          <w:rFonts w:ascii="Arial" w:hAnsi="Arial" w:cs="Arial"/>
          <w:sz w:val="20"/>
          <w:szCs w:val="20"/>
          <w:lang w:val="en-GB"/>
        </w:rPr>
        <w:t>, i.e. Directive</w:t>
      </w:r>
      <w:r w:rsidR="00CB5281" w:rsidRPr="001A7DCD">
        <w:rPr>
          <w:rStyle w:val="ui-provider"/>
          <w:rFonts w:ascii="Arial" w:hAnsi="Arial" w:cs="Arial"/>
          <w:sz w:val="20"/>
          <w:szCs w:val="20"/>
          <w:lang w:val="en-GB"/>
        </w:rPr>
        <w:t xml:space="preserve"> 2011/92/EU o</w:t>
      </w:r>
      <w:r w:rsidR="00787DEB">
        <w:rPr>
          <w:rStyle w:val="ui-provider"/>
          <w:rFonts w:ascii="Arial" w:hAnsi="Arial" w:cs="Arial"/>
          <w:sz w:val="20"/>
          <w:szCs w:val="20"/>
          <w:lang w:val="en-GB"/>
        </w:rPr>
        <w:t xml:space="preserve">n the assessment of </w:t>
      </w:r>
      <w:r w:rsidR="007D0D1F">
        <w:rPr>
          <w:rStyle w:val="ui-provider"/>
          <w:rFonts w:ascii="Arial" w:hAnsi="Arial" w:cs="Arial"/>
          <w:sz w:val="20"/>
          <w:szCs w:val="20"/>
          <w:lang w:val="en-GB"/>
        </w:rPr>
        <w:t>the effects of certain</w:t>
      </w:r>
      <w:r w:rsidR="00CB5281" w:rsidRPr="001A7DCD">
        <w:rPr>
          <w:rStyle w:val="ui-provider"/>
          <w:rFonts w:ascii="Arial" w:hAnsi="Arial" w:cs="Arial"/>
          <w:sz w:val="20"/>
          <w:szCs w:val="20"/>
          <w:lang w:val="en-GB"/>
        </w:rPr>
        <w:t xml:space="preserve"> </w:t>
      </w:r>
      <w:r w:rsidR="007D0D1F">
        <w:rPr>
          <w:rStyle w:val="ui-provider"/>
          <w:rFonts w:ascii="Arial" w:hAnsi="Arial" w:cs="Arial"/>
          <w:sz w:val="20"/>
          <w:szCs w:val="20"/>
          <w:lang w:val="en-GB"/>
        </w:rPr>
        <w:t>public and private projects on the environment</w:t>
      </w:r>
      <w:r w:rsidR="00CB5281" w:rsidRPr="001A7DCD">
        <w:rPr>
          <w:rStyle w:val="ui-provider"/>
          <w:rFonts w:ascii="Arial" w:hAnsi="Arial" w:cs="Arial"/>
          <w:sz w:val="20"/>
          <w:szCs w:val="20"/>
          <w:lang w:val="en-GB"/>
        </w:rPr>
        <w:t>, a</w:t>
      </w:r>
      <w:r w:rsidR="00CF5372">
        <w:rPr>
          <w:rStyle w:val="ui-provider"/>
          <w:rFonts w:ascii="Arial" w:hAnsi="Arial" w:cs="Arial"/>
          <w:sz w:val="20"/>
          <w:szCs w:val="20"/>
          <w:lang w:val="en-GB"/>
        </w:rPr>
        <w:t xml:space="preserve">nd which are subject to an environmental impact assessment or verification procedure for which </w:t>
      </w:r>
      <w:r w:rsidR="00817C77">
        <w:rPr>
          <w:rStyle w:val="ui-provider"/>
          <w:rFonts w:ascii="Arial" w:hAnsi="Arial" w:cs="Arial"/>
          <w:sz w:val="20"/>
          <w:szCs w:val="20"/>
          <w:lang w:val="en-GB"/>
        </w:rPr>
        <w:t>the assessment of alternative solutions based on</w:t>
      </w:r>
      <w:r w:rsidR="007339A7">
        <w:rPr>
          <w:rStyle w:val="ui-provider"/>
          <w:rFonts w:ascii="Arial" w:hAnsi="Arial" w:cs="Arial"/>
          <w:sz w:val="20"/>
          <w:szCs w:val="20"/>
          <w:lang w:val="en-GB"/>
        </w:rPr>
        <w:t xml:space="preserve"> the requirements of that Directive </w:t>
      </w:r>
      <w:r w:rsidR="00CF5372">
        <w:rPr>
          <w:rStyle w:val="ui-provider"/>
          <w:rFonts w:ascii="Arial" w:hAnsi="Arial" w:cs="Arial"/>
          <w:sz w:val="20"/>
          <w:szCs w:val="20"/>
          <w:lang w:val="en-GB"/>
        </w:rPr>
        <w:t>it is not properly taken into account</w:t>
      </w:r>
      <w:r w:rsidR="00CB5281" w:rsidRPr="001A7DCD">
        <w:rPr>
          <w:rStyle w:val="ui-provider"/>
          <w:rFonts w:ascii="Arial" w:hAnsi="Arial" w:cs="Arial"/>
          <w:sz w:val="20"/>
          <w:szCs w:val="20"/>
          <w:lang w:val="en-GB"/>
        </w:rPr>
        <w:t>;</w:t>
      </w:r>
    </w:p>
    <w:p w14:paraId="03D2082B" w14:textId="60506C54" w:rsidR="0051568F" w:rsidRPr="001A7DCD" w:rsidRDefault="00340B12" w:rsidP="000D1EAC">
      <w:pPr>
        <w:pStyle w:val="Odlomakpopisa"/>
        <w:numPr>
          <w:ilvl w:val="0"/>
          <w:numId w:val="25"/>
        </w:numPr>
        <w:spacing w:line="257" w:lineRule="auto"/>
        <w:jc w:val="both"/>
        <w:rPr>
          <w:rFonts w:ascii="Arial" w:eastAsiaTheme="minorEastAsia" w:hAnsi="Arial" w:cs="Arial"/>
          <w:color w:val="000000" w:themeColor="text1"/>
          <w:sz w:val="20"/>
          <w:szCs w:val="20"/>
          <w:lang w:val="en-GB"/>
        </w:rPr>
      </w:pPr>
      <w:r w:rsidRPr="00B30163">
        <w:rPr>
          <w:rFonts w:ascii="Arial" w:eastAsia="Calibri" w:hAnsi="Arial" w:cs="Arial"/>
          <w:color w:val="000000" w:themeColor="text1"/>
          <w:sz w:val="20"/>
          <w:szCs w:val="20"/>
          <w:lang w:val="en-GB"/>
        </w:rPr>
        <w:t>Ineligible activities under Regulation</w:t>
      </w:r>
      <w:r w:rsidR="00B70450" w:rsidRPr="00B30163">
        <w:rPr>
          <w:rFonts w:ascii="Arial" w:eastAsia="Calibri" w:hAnsi="Arial" w:cs="Arial"/>
          <w:color w:val="000000" w:themeColor="text1"/>
          <w:sz w:val="20"/>
          <w:szCs w:val="20"/>
          <w:lang w:val="en-GB"/>
        </w:rPr>
        <w:t xml:space="preserve"> (EU) 2021/1060 </w:t>
      </w:r>
      <w:r w:rsidR="00165628" w:rsidRPr="00B30163">
        <w:rPr>
          <w:rFonts w:ascii="Arial" w:eastAsia="Calibri" w:hAnsi="Arial" w:cs="Arial"/>
          <w:color w:val="000000" w:themeColor="text1"/>
          <w:sz w:val="20"/>
          <w:szCs w:val="20"/>
          <w:lang w:val="en-GB"/>
        </w:rPr>
        <w:t xml:space="preserve">of the </w:t>
      </w:r>
      <w:r w:rsidR="00B70450" w:rsidRPr="00B30163">
        <w:rPr>
          <w:rFonts w:ascii="Arial" w:eastAsia="Calibri" w:hAnsi="Arial" w:cs="Arial"/>
          <w:color w:val="000000" w:themeColor="text1"/>
          <w:sz w:val="20"/>
          <w:szCs w:val="20"/>
          <w:lang w:val="en-GB"/>
        </w:rPr>
        <w:t>Europ</w:t>
      </w:r>
      <w:r w:rsidR="00165628" w:rsidRPr="00B30163">
        <w:rPr>
          <w:rFonts w:ascii="Arial" w:eastAsia="Calibri" w:hAnsi="Arial" w:cs="Arial"/>
          <w:color w:val="000000" w:themeColor="text1"/>
          <w:sz w:val="20"/>
          <w:szCs w:val="20"/>
          <w:lang w:val="en-GB"/>
        </w:rPr>
        <w:t xml:space="preserve">ean Parliament and the Council </w:t>
      </w:r>
      <w:r w:rsidR="00271BFB" w:rsidRPr="00B30163">
        <w:rPr>
          <w:rFonts w:ascii="Arial" w:eastAsia="Calibri" w:hAnsi="Arial" w:cs="Arial"/>
          <w:color w:val="000000" w:themeColor="text1"/>
          <w:sz w:val="20"/>
          <w:szCs w:val="20"/>
          <w:lang w:val="en-GB"/>
        </w:rPr>
        <w:t>on laying down common</w:t>
      </w:r>
      <w:r w:rsidR="00271BFB">
        <w:rPr>
          <w:rFonts w:ascii="Arial" w:eastAsia="Calibri" w:hAnsi="Arial" w:cs="Arial"/>
          <w:color w:val="000000" w:themeColor="text1"/>
          <w:sz w:val="20"/>
          <w:szCs w:val="20"/>
          <w:lang w:val="en-GB"/>
        </w:rPr>
        <w:t xml:space="preserve"> provisions</w:t>
      </w:r>
      <w:r w:rsidR="00B70450" w:rsidRPr="001A7DCD">
        <w:rPr>
          <w:rFonts w:ascii="Arial" w:eastAsiaTheme="minorEastAsia" w:hAnsi="Arial" w:cs="Arial"/>
          <w:color w:val="000000" w:themeColor="text1"/>
          <w:sz w:val="20"/>
          <w:szCs w:val="20"/>
          <w:lang w:val="en-GB"/>
        </w:rPr>
        <w:t xml:space="preserve"> o</w:t>
      </w:r>
      <w:r w:rsidR="006129B0">
        <w:rPr>
          <w:rFonts w:ascii="Arial" w:eastAsiaTheme="minorEastAsia" w:hAnsi="Arial" w:cs="Arial"/>
          <w:color w:val="000000" w:themeColor="text1"/>
          <w:sz w:val="20"/>
          <w:szCs w:val="20"/>
          <w:lang w:val="en-GB"/>
        </w:rPr>
        <w:t>n the</w:t>
      </w:r>
      <w:r w:rsidR="00B70450" w:rsidRPr="001A7DCD">
        <w:rPr>
          <w:rFonts w:ascii="Arial" w:eastAsiaTheme="minorEastAsia" w:hAnsi="Arial" w:cs="Arial"/>
          <w:color w:val="000000" w:themeColor="text1"/>
          <w:sz w:val="20"/>
          <w:szCs w:val="20"/>
          <w:lang w:val="en-GB"/>
        </w:rPr>
        <w:t xml:space="preserve"> Europ</w:t>
      </w:r>
      <w:r w:rsidR="006129B0">
        <w:rPr>
          <w:rFonts w:ascii="Arial" w:eastAsiaTheme="minorEastAsia" w:hAnsi="Arial" w:cs="Arial"/>
          <w:color w:val="000000" w:themeColor="text1"/>
          <w:sz w:val="20"/>
          <w:szCs w:val="20"/>
          <w:lang w:val="en-GB"/>
        </w:rPr>
        <w:t>ean Regional Development Fund</w:t>
      </w:r>
      <w:r w:rsidR="00B70450" w:rsidRPr="001A7DCD">
        <w:rPr>
          <w:rFonts w:ascii="Arial" w:eastAsiaTheme="minorEastAsia" w:hAnsi="Arial" w:cs="Arial"/>
          <w:color w:val="000000" w:themeColor="text1"/>
          <w:sz w:val="20"/>
          <w:szCs w:val="20"/>
          <w:lang w:val="en-GB"/>
        </w:rPr>
        <w:t>, Europ</w:t>
      </w:r>
      <w:r w:rsidR="006129B0">
        <w:rPr>
          <w:rFonts w:ascii="Arial" w:eastAsiaTheme="minorEastAsia" w:hAnsi="Arial" w:cs="Arial"/>
          <w:color w:val="000000" w:themeColor="text1"/>
          <w:sz w:val="20"/>
          <w:szCs w:val="20"/>
          <w:lang w:val="en-GB"/>
        </w:rPr>
        <w:t>ean Social Fund</w:t>
      </w:r>
      <w:r w:rsidR="00B70450" w:rsidRPr="001A7DCD">
        <w:rPr>
          <w:rFonts w:ascii="Arial" w:eastAsiaTheme="minorEastAsia" w:hAnsi="Arial" w:cs="Arial"/>
          <w:color w:val="000000" w:themeColor="text1"/>
          <w:sz w:val="20"/>
          <w:szCs w:val="20"/>
          <w:lang w:val="en-GB"/>
        </w:rPr>
        <w:t xml:space="preserve">, </w:t>
      </w:r>
      <w:r w:rsidR="00697231">
        <w:rPr>
          <w:rFonts w:ascii="Arial" w:eastAsiaTheme="minorEastAsia" w:hAnsi="Arial" w:cs="Arial"/>
          <w:color w:val="000000" w:themeColor="text1"/>
          <w:sz w:val="20"/>
          <w:szCs w:val="20"/>
          <w:lang w:val="en-GB"/>
        </w:rPr>
        <w:t>Cohesion Fund</w:t>
      </w:r>
      <w:r w:rsidR="00B70450" w:rsidRPr="001A7DCD">
        <w:rPr>
          <w:rFonts w:ascii="Arial" w:eastAsiaTheme="minorEastAsia" w:hAnsi="Arial" w:cs="Arial"/>
          <w:color w:val="000000" w:themeColor="text1"/>
          <w:sz w:val="20"/>
          <w:szCs w:val="20"/>
          <w:lang w:val="en-GB"/>
        </w:rPr>
        <w:t>,</w:t>
      </w:r>
      <w:r w:rsidR="00970A7F">
        <w:rPr>
          <w:rFonts w:ascii="Arial" w:eastAsiaTheme="minorEastAsia" w:hAnsi="Arial" w:cs="Arial"/>
          <w:color w:val="000000" w:themeColor="text1"/>
          <w:sz w:val="20"/>
          <w:szCs w:val="20"/>
          <w:lang w:val="en-GB"/>
        </w:rPr>
        <w:t xml:space="preserve"> the</w:t>
      </w:r>
      <w:r w:rsidR="00B70450" w:rsidRPr="001A7DCD">
        <w:rPr>
          <w:rFonts w:ascii="Arial" w:eastAsiaTheme="minorEastAsia" w:hAnsi="Arial" w:cs="Arial"/>
          <w:color w:val="000000" w:themeColor="text1"/>
          <w:sz w:val="20"/>
          <w:szCs w:val="20"/>
          <w:lang w:val="en-GB"/>
        </w:rPr>
        <w:t xml:space="preserve"> </w:t>
      </w:r>
      <w:r w:rsidR="00970A7F">
        <w:rPr>
          <w:rFonts w:ascii="Arial" w:eastAsiaTheme="minorEastAsia" w:hAnsi="Arial" w:cs="Arial"/>
          <w:color w:val="000000" w:themeColor="text1"/>
          <w:sz w:val="20"/>
          <w:szCs w:val="20"/>
          <w:lang w:val="en-GB"/>
        </w:rPr>
        <w:t xml:space="preserve">Just Transition Fund and the </w:t>
      </w:r>
      <w:r w:rsidR="00B70450" w:rsidRPr="001A7DCD">
        <w:rPr>
          <w:rFonts w:ascii="Arial" w:eastAsiaTheme="minorEastAsia" w:hAnsi="Arial" w:cs="Arial"/>
          <w:color w:val="000000" w:themeColor="text1"/>
          <w:sz w:val="20"/>
          <w:szCs w:val="20"/>
          <w:lang w:val="en-GB"/>
        </w:rPr>
        <w:t>Europ</w:t>
      </w:r>
      <w:r w:rsidR="00970A7F">
        <w:rPr>
          <w:rFonts w:ascii="Arial" w:eastAsiaTheme="minorEastAsia" w:hAnsi="Arial" w:cs="Arial"/>
          <w:color w:val="000000" w:themeColor="text1"/>
          <w:sz w:val="20"/>
          <w:szCs w:val="20"/>
          <w:lang w:val="en-GB"/>
        </w:rPr>
        <w:t>ean</w:t>
      </w:r>
      <w:r w:rsidR="00B70450" w:rsidRPr="001A7DCD">
        <w:rPr>
          <w:rFonts w:ascii="Arial" w:eastAsiaTheme="minorEastAsia" w:hAnsi="Arial" w:cs="Arial"/>
          <w:color w:val="000000" w:themeColor="text1"/>
          <w:sz w:val="20"/>
          <w:szCs w:val="20"/>
          <w:lang w:val="en-GB"/>
        </w:rPr>
        <w:t xml:space="preserve"> </w:t>
      </w:r>
      <w:r w:rsidR="00C323ED">
        <w:rPr>
          <w:rFonts w:ascii="Arial" w:eastAsiaTheme="minorEastAsia" w:hAnsi="Arial" w:cs="Arial"/>
          <w:color w:val="000000" w:themeColor="text1"/>
          <w:sz w:val="20"/>
          <w:szCs w:val="20"/>
          <w:lang w:val="en-GB"/>
        </w:rPr>
        <w:t xml:space="preserve">Maritime, Fisheries and </w:t>
      </w:r>
      <w:r w:rsidR="00A076E5">
        <w:rPr>
          <w:rFonts w:ascii="Arial" w:eastAsiaTheme="minorEastAsia" w:hAnsi="Arial" w:cs="Arial"/>
          <w:color w:val="000000" w:themeColor="text1"/>
          <w:sz w:val="20"/>
          <w:szCs w:val="20"/>
          <w:lang w:val="en-GB"/>
        </w:rPr>
        <w:t xml:space="preserve">Aquaculture Fund and </w:t>
      </w:r>
      <w:r w:rsidR="00296405">
        <w:rPr>
          <w:rFonts w:ascii="Arial" w:eastAsiaTheme="minorEastAsia" w:hAnsi="Arial" w:cs="Arial"/>
          <w:color w:val="000000" w:themeColor="text1"/>
          <w:sz w:val="20"/>
          <w:szCs w:val="20"/>
          <w:lang w:val="en-GB"/>
        </w:rPr>
        <w:t xml:space="preserve">financial rules for them and for the Asylum, Migration and </w:t>
      </w:r>
      <w:r w:rsidR="00170B65">
        <w:rPr>
          <w:rFonts w:ascii="Arial" w:eastAsiaTheme="minorEastAsia" w:hAnsi="Arial" w:cs="Arial"/>
          <w:color w:val="000000" w:themeColor="text1"/>
          <w:sz w:val="20"/>
          <w:szCs w:val="20"/>
          <w:lang w:val="en-GB"/>
        </w:rPr>
        <w:t>Integration Fund</w:t>
      </w:r>
      <w:r w:rsidR="00B70450" w:rsidRPr="001A7DCD">
        <w:rPr>
          <w:rFonts w:ascii="Arial" w:eastAsiaTheme="minorEastAsia" w:hAnsi="Arial" w:cs="Arial"/>
          <w:color w:val="000000" w:themeColor="text1"/>
          <w:sz w:val="20"/>
          <w:szCs w:val="20"/>
          <w:lang w:val="en-GB"/>
        </w:rPr>
        <w:t>,</w:t>
      </w:r>
      <w:r w:rsidR="00170B65">
        <w:rPr>
          <w:rFonts w:ascii="Arial" w:eastAsiaTheme="minorEastAsia" w:hAnsi="Arial" w:cs="Arial"/>
          <w:color w:val="000000" w:themeColor="text1"/>
          <w:sz w:val="20"/>
          <w:szCs w:val="20"/>
          <w:lang w:val="en-GB"/>
        </w:rPr>
        <w:t xml:space="preserve"> the Internal Security Fund</w:t>
      </w:r>
      <w:r w:rsidR="00B74AA7">
        <w:rPr>
          <w:rFonts w:ascii="Arial" w:eastAsiaTheme="minorEastAsia" w:hAnsi="Arial" w:cs="Arial"/>
          <w:color w:val="000000" w:themeColor="text1"/>
          <w:sz w:val="20"/>
          <w:szCs w:val="20"/>
          <w:lang w:val="en-GB"/>
        </w:rPr>
        <w:t xml:space="preserve"> and the Ins</w:t>
      </w:r>
      <w:r w:rsidR="002B2B1D">
        <w:rPr>
          <w:rFonts w:ascii="Arial" w:eastAsiaTheme="minorEastAsia" w:hAnsi="Arial" w:cs="Arial"/>
          <w:color w:val="000000" w:themeColor="text1"/>
          <w:sz w:val="20"/>
          <w:szCs w:val="20"/>
          <w:lang w:val="en-GB"/>
        </w:rPr>
        <w:t xml:space="preserve">trument for financial support </w:t>
      </w:r>
      <w:r w:rsidR="00266997">
        <w:rPr>
          <w:rFonts w:ascii="Arial" w:eastAsiaTheme="minorEastAsia" w:hAnsi="Arial" w:cs="Arial"/>
          <w:color w:val="000000" w:themeColor="text1"/>
          <w:sz w:val="20"/>
          <w:szCs w:val="20"/>
          <w:lang w:val="en-GB"/>
        </w:rPr>
        <w:t>for border management</w:t>
      </w:r>
      <w:r w:rsidR="00F34526">
        <w:rPr>
          <w:rFonts w:ascii="Arial" w:eastAsiaTheme="minorEastAsia" w:hAnsi="Arial" w:cs="Arial"/>
          <w:color w:val="000000" w:themeColor="text1"/>
          <w:sz w:val="20"/>
          <w:szCs w:val="20"/>
          <w:lang w:val="en-GB"/>
        </w:rPr>
        <w:t xml:space="preserve"> and visa policy</w:t>
      </w:r>
      <w:r w:rsidR="004703F8" w:rsidRPr="001A7DCD">
        <w:rPr>
          <w:rFonts w:ascii="Arial" w:hAnsi="Arial" w:cs="Arial"/>
          <w:color w:val="000000" w:themeColor="text1"/>
          <w:lang w:val="en-GB"/>
        </w:rPr>
        <w:t>;</w:t>
      </w:r>
    </w:p>
    <w:p w14:paraId="146F9AD5" w14:textId="1DEF31C4" w:rsidR="00B70450" w:rsidRPr="001A7DCD" w:rsidRDefault="00F34526" w:rsidP="000D1EAC">
      <w:pPr>
        <w:pStyle w:val="Odlomakpopisa"/>
        <w:numPr>
          <w:ilvl w:val="0"/>
          <w:numId w:val="25"/>
        </w:numPr>
        <w:spacing w:after="0" w:line="257" w:lineRule="auto"/>
        <w:jc w:val="both"/>
        <w:rPr>
          <w:rFonts w:ascii="Arial" w:eastAsiaTheme="minorEastAsia" w:hAnsi="Arial" w:cs="Arial"/>
          <w:color w:val="000000" w:themeColor="text1"/>
          <w:sz w:val="20"/>
          <w:szCs w:val="20"/>
          <w:lang w:val="en-GB"/>
        </w:rPr>
      </w:pPr>
      <w:r>
        <w:rPr>
          <w:rFonts w:ascii="Arial" w:eastAsia="Calibri" w:hAnsi="Arial" w:cs="Arial"/>
          <w:color w:val="000000" w:themeColor="text1"/>
          <w:sz w:val="20"/>
          <w:szCs w:val="20"/>
          <w:lang w:val="en-GB"/>
        </w:rPr>
        <w:t xml:space="preserve">All other ineligible activities in accordance with the Regulation </w:t>
      </w:r>
      <w:r w:rsidR="00B70450" w:rsidRPr="001A7DCD">
        <w:rPr>
          <w:rFonts w:ascii="Arial" w:eastAsia="Calibri" w:hAnsi="Arial" w:cs="Arial"/>
          <w:color w:val="000000" w:themeColor="text1"/>
          <w:sz w:val="20"/>
          <w:szCs w:val="20"/>
          <w:lang w:val="en-GB"/>
        </w:rPr>
        <w:t xml:space="preserve">(EU) 2021/1058 </w:t>
      </w:r>
      <w:r>
        <w:rPr>
          <w:rFonts w:ascii="Arial" w:eastAsia="Calibri" w:hAnsi="Arial" w:cs="Arial"/>
          <w:color w:val="000000" w:themeColor="text1"/>
          <w:sz w:val="20"/>
          <w:szCs w:val="20"/>
          <w:lang w:val="en-GB"/>
        </w:rPr>
        <w:t xml:space="preserve">of the </w:t>
      </w:r>
      <w:r w:rsidR="00B70450" w:rsidRPr="001A7DCD">
        <w:rPr>
          <w:rFonts w:ascii="Arial" w:eastAsia="Calibri" w:hAnsi="Arial" w:cs="Arial"/>
          <w:color w:val="000000" w:themeColor="text1"/>
          <w:sz w:val="20"/>
          <w:szCs w:val="20"/>
          <w:lang w:val="en-GB"/>
        </w:rPr>
        <w:t>Europ</w:t>
      </w:r>
      <w:r>
        <w:rPr>
          <w:rFonts w:ascii="Arial" w:eastAsia="Calibri" w:hAnsi="Arial" w:cs="Arial"/>
          <w:color w:val="000000" w:themeColor="text1"/>
          <w:sz w:val="20"/>
          <w:szCs w:val="20"/>
          <w:lang w:val="en-GB"/>
        </w:rPr>
        <w:t>ean Parliament and the Council of</w:t>
      </w:r>
      <w:r w:rsidR="00B70450" w:rsidRPr="001A7DCD">
        <w:rPr>
          <w:rFonts w:ascii="Arial" w:eastAsia="Calibri" w:hAnsi="Arial" w:cs="Arial"/>
          <w:color w:val="000000" w:themeColor="text1"/>
          <w:sz w:val="20"/>
          <w:szCs w:val="20"/>
          <w:lang w:val="en-GB"/>
        </w:rPr>
        <w:t xml:space="preserve"> 24</w:t>
      </w:r>
      <w:r>
        <w:rPr>
          <w:rFonts w:ascii="Arial" w:eastAsia="Calibri" w:hAnsi="Arial" w:cs="Arial"/>
          <w:color w:val="000000" w:themeColor="text1"/>
          <w:sz w:val="20"/>
          <w:szCs w:val="20"/>
          <w:lang w:val="en-GB"/>
        </w:rPr>
        <w:t xml:space="preserve"> June</w:t>
      </w:r>
      <w:r w:rsidR="00B70450" w:rsidRPr="001A7DCD">
        <w:rPr>
          <w:rFonts w:ascii="Arial" w:eastAsia="Calibri" w:hAnsi="Arial" w:cs="Arial"/>
          <w:color w:val="000000" w:themeColor="text1"/>
          <w:sz w:val="20"/>
          <w:szCs w:val="20"/>
          <w:lang w:val="en-GB"/>
        </w:rPr>
        <w:t xml:space="preserve"> 2021</w:t>
      </w:r>
      <w:r>
        <w:rPr>
          <w:rFonts w:ascii="Arial" w:eastAsia="Calibri" w:hAnsi="Arial" w:cs="Arial"/>
          <w:color w:val="000000" w:themeColor="text1"/>
          <w:sz w:val="20"/>
          <w:szCs w:val="20"/>
          <w:lang w:val="en-GB"/>
        </w:rPr>
        <w:t xml:space="preserve"> on the European </w:t>
      </w:r>
      <w:r w:rsidR="009123D9">
        <w:rPr>
          <w:rFonts w:ascii="Arial" w:eastAsia="Calibri" w:hAnsi="Arial" w:cs="Arial"/>
          <w:color w:val="000000" w:themeColor="text1"/>
          <w:sz w:val="20"/>
          <w:szCs w:val="20"/>
          <w:lang w:val="en-GB"/>
        </w:rPr>
        <w:t>Regional Development Fund and the Cohesion Fund</w:t>
      </w:r>
      <w:r w:rsidR="004703F8" w:rsidRPr="001A7DCD">
        <w:rPr>
          <w:rFonts w:ascii="Arial" w:eastAsia="Calibri" w:hAnsi="Arial" w:cs="Arial"/>
          <w:color w:val="000000" w:themeColor="text1"/>
          <w:lang w:val="en-GB"/>
        </w:rPr>
        <w:t>;</w:t>
      </w:r>
    </w:p>
    <w:p w14:paraId="7753F130" w14:textId="4AF50040" w:rsidR="00AC75E5" w:rsidRPr="001A7DCD" w:rsidRDefault="009123D9" w:rsidP="000D1EAC">
      <w:pPr>
        <w:pStyle w:val="Odlomakpopisa"/>
        <w:widowControl w:val="0"/>
        <w:numPr>
          <w:ilvl w:val="0"/>
          <w:numId w:val="25"/>
        </w:numPr>
        <w:tabs>
          <w:tab w:val="left" w:pos="879"/>
          <w:tab w:val="left" w:pos="880"/>
        </w:tabs>
        <w:autoSpaceDE w:val="0"/>
        <w:autoSpaceDN w:val="0"/>
        <w:spacing w:before="1" w:after="0" w:line="276" w:lineRule="auto"/>
        <w:jc w:val="both"/>
        <w:rPr>
          <w:rFonts w:ascii="Arial" w:hAnsi="Arial" w:cs="Arial"/>
          <w:sz w:val="20"/>
          <w:szCs w:val="20"/>
          <w:lang w:val="en-GB"/>
        </w:rPr>
      </w:pPr>
      <w:r>
        <w:rPr>
          <w:rFonts w:ascii="Arial" w:hAnsi="Arial" w:cs="Arial"/>
          <w:sz w:val="20"/>
          <w:szCs w:val="20"/>
          <w:lang w:val="en-GB"/>
        </w:rPr>
        <w:t xml:space="preserve">Refinancing of </w:t>
      </w:r>
      <w:r w:rsidR="00C93B20">
        <w:rPr>
          <w:rFonts w:ascii="Arial" w:hAnsi="Arial" w:cs="Arial"/>
          <w:sz w:val="20"/>
          <w:szCs w:val="20"/>
          <w:lang w:val="en-GB"/>
        </w:rPr>
        <w:t>existing loans</w:t>
      </w:r>
      <w:r w:rsidR="00C76C45" w:rsidRPr="001A7DCD">
        <w:rPr>
          <w:rFonts w:ascii="Arial" w:hAnsi="Arial" w:cs="Arial"/>
          <w:sz w:val="20"/>
          <w:szCs w:val="20"/>
          <w:lang w:val="en-GB"/>
        </w:rPr>
        <w:t xml:space="preserve"> (</w:t>
      </w:r>
      <w:r w:rsidR="002876A4">
        <w:rPr>
          <w:rFonts w:ascii="Arial" w:hAnsi="Arial" w:cs="Arial"/>
          <w:sz w:val="20"/>
          <w:szCs w:val="20"/>
          <w:lang w:val="en-GB"/>
        </w:rPr>
        <w:t>financing of exclusively new loans is permitted</w:t>
      </w:r>
      <w:r w:rsidR="00C76C45" w:rsidRPr="001A7DCD">
        <w:rPr>
          <w:rStyle w:val="normaltextrun"/>
          <w:rFonts w:ascii="Arial" w:eastAsiaTheme="majorEastAsia" w:hAnsi="Arial" w:cs="Arial"/>
          <w:sz w:val="20"/>
          <w:szCs w:val="20"/>
          <w:lang w:val="en-GB"/>
        </w:rPr>
        <w:t>)</w:t>
      </w:r>
      <w:r w:rsidR="0018027B" w:rsidRPr="001A7DCD">
        <w:rPr>
          <w:rFonts w:ascii="Arial" w:hAnsi="Arial" w:cs="Arial"/>
          <w:sz w:val="20"/>
          <w:szCs w:val="20"/>
          <w:lang w:val="en-GB"/>
        </w:rPr>
        <w:t>;</w:t>
      </w:r>
      <w:r w:rsidR="00337F41" w:rsidRPr="001A7DCD">
        <w:rPr>
          <w:rFonts w:ascii="Arial" w:hAnsi="Arial" w:cs="Arial"/>
          <w:sz w:val="20"/>
          <w:szCs w:val="20"/>
          <w:lang w:val="en-GB"/>
        </w:rPr>
        <w:t xml:space="preserve"> </w:t>
      </w:r>
    </w:p>
    <w:p w14:paraId="3C416010" w14:textId="12F6D230" w:rsidR="00AC75E5" w:rsidRPr="001A7DCD" w:rsidRDefault="002876A4" w:rsidP="000D1EAC">
      <w:pPr>
        <w:pStyle w:val="Odlomakpopisa"/>
        <w:widowControl w:val="0"/>
        <w:numPr>
          <w:ilvl w:val="0"/>
          <w:numId w:val="25"/>
        </w:numPr>
        <w:tabs>
          <w:tab w:val="left" w:pos="879"/>
          <w:tab w:val="left" w:pos="880"/>
        </w:tabs>
        <w:autoSpaceDE w:val="0"/>
        <w:autoSpaceDN w:val="0"/>
        <w:spacing w:before="1" w:after="0" w:line="276" w:lineRule="auto"/>
        <w:jc w:val="both"/>
        <w:rPr>
          <w:rFonts w:ascii="Arial" w:hAnsi="Arial" w:cs="Arial"/>
          <w:sz w:val="20"/>
          <w:szCs w:val="20"/>
          <w:lang w:val="en-GB"/>
        </w:rPr>
      </w:pPr>
      <w:r>
        <w:rPr>
          <w:rFonts w:ascii="Arial" w:eastAsia="Arial" w:hAnsi="Arial" w:cs="Arial"/>
          <w:kern w:val="0"/>
          <w:sz w:val="20"/>
          <w:szCs w:val="20"/>
          <w:lang w:val="en-GB"/>
          <w14:ligatures w14:val="none"/>
        </w:rPr>
        <w:t>Investment</w:t>
      </w:r>
      <w:r w:rsidR="008F2BD4">
        <w:rPr>
          <w:rFonts w:ascii="Arial" w:eastAsia="Arial" w:hAnsi="Arial" w:cs="Arial"/>
          <w:kern w:val="0"/>
          <w:sz w:val="20"/>
          <w:szCs w:val="20"/>
          <w:lang w:val="en-GB"/>
          <w14:ligatures w14:val="none"/>
        </w:rPr>
        <w:t>s</w:t>
      </w:r>
      <w:r>
        <w:rPr>
          <w:rFonts w:ascii="Arial" w:eastAsia="Arial" w:hAnsi="Arial" w:cs="Arial"/>
          <w:kern w:val="0"/>
          <w:sz w:val="20"/>
          <w:szCs w:val="20"/>
          <w:lang w:val="en-GB"/>
          <w14:ligatures w14:val="none"/>
        </w:rPr>
        <w:t xml:space="preserve"> outside the territory of the Republic of Croatia</w:t>
      </w:r>
      <w:r w:rsidR="001A0189" w:rsidRPr="001A7DCD">
        <w:rPr>
          <w:rFonts w:ascii="Arial" w:eastAsia="Arial" w:hAnsi="Arial" w:cs="Arial"/>
          <w:kern w:val="0"/>
          <w:sz w:val="20"/>
          <w:szCs w:val="20"/>
          <w:lang w:val="en-GB"/>
          <w14:ligatures w14:val="none"/>
        </w:rPr>
        <w:t>;</w:t>
      </w:r>
    </w:p>
    <w:p w14:paraId="7D4E0216" w14:textId="03F812CC" w:rsidR="005C7113" w:rsidRPr="001A7DCD" w:rsidRDefault="008F2BD4" w:rsidP="000D1EAC">
      <w:pPr>
        <w:pStyle w:val="Odlomakpopisa"/>
        <w:widowControl w:val="0"/>
        <w:numPr>
          <w:ilvl w:val="0"/>
          <w:numId w:val="25"/>
        </w:numPr>
        <w:tabs>
          <w:tab w:val="left" w:pos="879"/>
          <w:tab w:val="left" w:pos="880"/>
        </w:tabs>
        <w:autoSpaceDE w:val="0"/>
        <w:autoSpaceDN w:val="0"/>
        <w:spacing w:before="1" w:after="0" w:line="276" w:lineRule="auto"/>
        <w:ind w:right="-142"/>
        <w:jc w:val="both"/>
        <w:rPr>
          <w:rFonts w:ascii="Arial" w:hAnsi="Arial" w:cs="Arial"/>
          <w:sz w:val="20"/>
          <w:szCs w:val="20"/>
          <w:lang w:val="en-GB"/>
        </w:rPr>
      </w:pPr>
      <w:r>
        <w:rPr>
          <w:rFonts w:ascii="Arial" w:hAnsi="Arial" w:cs="Arial"/>
          <w:sz w:val="20"/>
          <w:szCs w:val="20"/>
          <w:lang w:val="en-GB"/>
        </w:rPr>
        <w:t>All other applicable bans and restrictions</w:t>
      </w:r>
      <w:r w:rsidR="002053C5">
        <w:rPr>
          <w:rFonts w:ascii="Arial" w:hAnsi="Arial" w:cs="Arial"/>
          <w:sz w:val="20"/>
          <w:szCs w:val="20"/>
          <w:lang w:val="en-GB"/>
        </w:rPr>
        <w:t xml:space="preserve"> in accordance with HBOR’s General Eligibility Criteria</w:t>
      </w:r>
      <w:r w:rsidR="005C7113" w:rsidRPr="001A7DCD">
        <w:rPr>
          <w:rFonts w:ascii="Arial" w:hAnsi="Arial" w:cs="Arial"/>
          <w:sz w:val="20"/>
          <w:szCs w:val="20"/>
          <w:lang w:val="en-GB"/>
        </w:rPr>
        <w:t>.</w:t>
      </w:r>
    </w:p>
    <w:p w14:paraId="4CF66111" w14:textId="54B608B0" w:rsidR="002473D7" w:rsidRPr="001A7DCD" w:rsidRDefault="002473D7" w:rsidP="000D1EAC">
      <w:pPr>
        <w:widowControl w:val="0"/>
        <w:autoSpaceDE w:val="0"/>
        <w:autoSpaceDN w:val="0"/>
        <w:spacing w:after="0" w:line="276" w:lineRule="auto"/>
        <w:ind w:left="360"/>
        <w:jc w:val="both"/>
        <w:rPr>
          <w:rStyle w:val="eop"/>
          <w:rFonts w:ascii="Arial" w:eastAsiaTheme="majorEastAsia" w:hAnsi="Arial" w:cs="Arial"/>
          <w:color w:val="000000" w:themeColor="text1"/>
          <w:sz w:val="20"/>
          <w:szCs w:val="20"/>
          <w:lang w:val="en-GB"/>
        </w:rPr>
      </w:pPr>
    </w:p>
    <w:sectPr w:rsidR="002473D7" w:rsidRPr="001A7DCD" w:rsidSect="00236DFF">
      <w:headerReference w:type="default" r:id="rId11"/>
      <w:footerReference w:type="default" r:id="rId12"/>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2585" w14:textId="77777777" w:rsidR="00ED4FB8" w:rsidRDefault="00ED4FB8" w:rsidP="009C43A4">
      <w:pPr>
        <w:spacing w:after="0" w:line="240" w:lineRule="auto"/>
      </w:pPr>
      <w:r>
        <w:separator/>
      </w:r>
    </w:p>
  </w:endnote>
  <w:endnote w:type="continuationSeparator" w:id="0">
    <w:p w14:paraId="3C980281" w14:textId="77777777" w:rsidR="00ED4FB8" w:rsidRDefault="00ED4FB8" w:rsidP="009C43A4">
      <w:pPr>
        <w:spacing w:after="0" w:line="240" w:lineRule="auto"/>
      </w:pPr>
      <w:r>
        <w:continuationSeparator/>
      </w:r>
    </w:p>
  </w:endnote>
  <w:endnote w:type="continuationNotice" w:id="1">
    <w:p w14:paraId="06F61946" w14:textId="77777777" w:rsidR="00ED4FB8" w:rsidRDefault="00ED4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601136"/>
      <w:docPartObj>
        <w:docPartGallery w:val="Page Numbers (Bottom of Page)"/>
        <w:docPartUnique/>
      </w:docPartObj>
    </w:sdtPr>
    <w:sdtEndPr>
      <w:rPr>
        <w:rFonts w:ascii="Arial" w:hAnsi="Arial" w:cs="Arial"/>
        <w:noProof/>
        <w:sz w:val="20"/>
        <w:szCs w:val="20"/>
      </w:rPr>
    </w:sdtEndPr>
    <w:sdtContent>
      <w:p w14:paraId="6F9FAAF1" w14:textId="5EDC4954" w:rsidR="00F6325C" w:rsidRPr="00F6325C" w:rsidRDefault="00F6325C">
        <w:pPr>
          <w:pStyle w:val="Podnoje"/>
          <w:jc w:val="center"/>
          <w:rPr>
            <w:rFonts w:ascii="Arial" w:hAnsi="Arial" w:cs="Arial"/>
            <w:sz w:val="20"/>
            <w:szCs w:val="20"/>
          </w:rPr>
        </w:pPr>
        <w:r w:rsidRPr="00F6325C">
          <w:rPr>
            <w:rFonts w:ascii="Arial" w:hAnsi="Arial" w:cs="Arial"/>
            <w:sz w:val="20"/>
            <w:szCs w:val="20"/>
          </w:rPr>
          <w:fldChar w:fldCharType="begin"/>
        </w:r>
        <w:r w:rsidRPr="00F6325C">
          <w:rPr>
            <w:rFonts w:ascii="Arial" w:hAnsi="Arial" w:cs="Arial"/>
            <w:sz w:val="20"/>
            <w:szCs w:val="20"/>
          </w:rPr>
          <w:instrText xml:space="preserve"> PAGE   \* MERGEFORMAT </w:instrText>
        </w:r>
        <w:r w:rsidRPr="00F6325C">
          <w:rPr>
            <w:rFonts w:ascii="Arial" w:hAnsi="Arial" w:cs="Arial"/>
            <w:sz w:val="20"/>
            <w:szCs w:val="20"/>
          </w:rPr>
          <w:fldChar w:fldCharType="separate"/>
        </w:r>
        <w:r w:rsidRPr="00F6325C">
          <w:rPr>
            <w:rFonts w:ascii="Arial" w:hAnsi="Arial" w:cs="Arial"/>
            <w:noProof/>
            <w:sz w:val="20"/>
            <w:szCs w:val="20"/>
          </w:rPr>
          <w:t>2</w:t>
        </w:r>
        <w:r w:rsidRPr="00F6325C">
          <w:rPr>
            <w:rFonts w:ascii="Arial" w:hAnsi="Arial" w:cs="Arial"/>
            <w:noProof/>
            <w:sz w:val="20"/>
            <w:szCs w:val="20"/>
          </w:rPr>
          <w:fldChar w:fldCharType="end"/>
        </w:r>
      </w:p>
    </w:sdtContent>
  </w:sdt>
  <w:p w14:paraId="2095B242" w14:textId="77777777" w:rsidR="003D043B" w:rsidRDefault="003D043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D23C" w14:textId="77777777" w:rsidR="00ED4FB8" w:rsidRDefault="00ED4FB8" w:rsidP="009C43A4">
      <w:pPr>
        <w:spacing w:after="0" w:line="240" w:lineRule="auto"/>
      </w:pPr>
      <w:r>
        <w:separator/>
      </w:r>
    </w:p>
  </w:footnote>
  <w:footnote w:type="continuationSeparator" w:id="0">
    <w:p w14:paraId="2C55A368" w14:textId="77777777" w:rsidR="00ED4FB8" w:rsidRDefault="00ED4FB8" w:rsidP="009C43A4">
      <w:pPr>
        <w:spacing w:after="0" w:line="240" w:lineRule="auto"/>
      </w:pPr>
      <w:r>
        <w:continuationSeparator/>
      </w:r>
    </w:p>
  </w:footnote>
  <w:footnote w:type="continuationNotice" w:id="1">
    <w:p w14:paraId="4F08FBA7" w14:textId="77777777" w:rsidR="00ED4FB8" w:rsidRDefault="00ED4FB8">
      <w:pPr>
        <w:spacing w:after="0" w:line="240" w:lineRule="auto"/>
      </w:pPr>
    </w:p>
  </w:footnote>
  <w:footnote w:id="2">
    <w:p w14:paraId="488AFBA0" w14:textId="3CE6EE62" w:rsidR="001A4DAB" w:rsidRPr="00205082" w:rsidRDefault="001C61BF" w:rsidP="001A4DAB">
      <w:pPr>
        <w:pStyle w:val="Tekstfusnote"/>
        <w:rPr>
          <w:lang w:val="en-GB"/>
        </w:rPr>
      </w:pPr>
      <w:r w:rsidRPr="00276F67">
        <w:rPr>
          <w:rStyle w:val="Referencafusnote"/>
          <w:rFonts w:ascii="Arial" w:hAnsi="Arial" w:cs="Arial"/>
          <w:sz w:val="16"/>
          <w:szCs w:val="16"/>
        </w:rPr>
        <w:footnoteRef/>
      </w:r>
      <w:r w:rsidRPr="00276F67">
        <w:rPr>
          <w:rFonts w:ascii="Arial" w:hAnsi="Arial" w:cs="Arial"/>
          <w:sz w:val="16"/>
          <w:szCs w:val="16"/>
        </w:rPr>
        <w:t xml:space="preserve"> </w:t>
      </w:r>
      <w:bookmarkStart w:id="0" w:name="_Hlk176860664"/>
      <w:r w:rsidR="000A3484" w:rsidRPr="00205082">
        <w:rPr>
          <w:rFonts w:ascii="Arial" w:hAnsi="Arial" w:cs="Arial"/>
          <w:color w:val="000000" w:themeColor="text1"/>
          <w:sz w:val="16"/>
          <w:szCs w:val="16"/>
          <w:lang w:val="en-GB"/>
        </w:rPr>
        <w:t xml:space="preserve">An investment that does not meet the initial </w:t>
      </w:r>
      <w:r w:rsidR="001260EA" w:rsidRPr="00205082">
        <w:rPr>
          <w:rFonts w:ascii="Arial" w:hAnsi="Arial" w:cs="Arial"/>
          <w:color w:val="000000" w:themeColor="text1"/>
          <w:sz w:val="16"/>
          <w:szCs w:val="16"/>
          <w:lang w:val="en-GB"/>
        </w:rPr>
        <w:t>funding</w:t>
      </w:r>
      <w:r w:rsidR="000A3484" w:rsidRPr="00205082">
        <w:rPr>
          <w:rFonts w:ascii="Arial" w:hAnsi="Arial" w:cs="Arial"/>
          <w:color w:val="000000" w:themeColor="text1"/>
          <w:sz w:val="16"/>
          <w:szCs w:val="16"/>
          <w:lang w:val="en-GB"/>
        </w:rPr>
        <w:t xml:space="preserve"> requirements in terms of state aid criteria</w:t>
      </w:r>
      <w:bookmarkEnd w:id="0"/>
      <w:r w:rsidR="001E6138" w:rsidRPr="00205082">
        <w:rPr>
          <w:rFonts w:ascii="Arial" w:hAnsi="Arial" w:cs="Arial"/>
          <w:color w:val="000000" w:themeColor="text1"/>
          <w:sz w:val="16"/>
          <w:szCs w:val="16"/>
          <w:lang w:val="en-GB"/>
        </w:rPr>
        <w:t xml:space="preserve"> is not eligible</w:t>
      </w:r>
      <w:r w:rsidR="001A4DAB" w:rsidRPr="00205082">
        <w:rPr>
          <w:rFonts w:ascii="Arial" w:hAnsi="Arial" w:cs="Arial"/>
          <w:color w:val="000000" w:themeColor="text1"/>
          <w:sz w:val="16"/>
          <w:szCs w:val="16"/>
          <w:lang w:val="en-GB"/>
        </w:rPr>
        <w:t xml:space="preserve">. </w:t>
      </w:r>
      <w:r w:rsidR="001E6138" w:rsidRPr="00205082">
        <w:rPr>
          <w:rFonts w:ascii="Arial" w:hAnsi="Arial" w:cs="Arial"/>
          <w:color w:val="000000" w:themeColor="text1"/>
          <w:sz w:val="16"/>
          <w:szCs w:val="16"/>
          <w:lang w:val="en-GB"/>
        </w:rPr>
        <w:t xml:space="preserve">An eligible investment in terms of state aid criteria </w:t>
      </w:r>
      <w:r w:rsidR="00283E69" w:rsidRPr="00205082">
        <w:rPr>
          <w:rFonts w:ascii="Arial" w:hAnsi="Arial" w:cs="Arial"/>
          <w:color w:val="000000" w:themeColor="text1"/>
          <w:sz w:val="16"/>
          <w:szCs w:val="16"/>
          <w:lang w:val="en-GB"/>
        </w:rPr>
        <w:t>(</w:t>
      </w:r>
      <w:r w:rsidR="001260EA" w:rsidRPr="00205082">
        <w:rPr>
          <w:rFonts w:ascii="Arial" w:hAnsi="Arial" w:cs="Arial"/>
          <w:color w:val="000000" w:themeColor="text1"/>
          <w:sz w:val="16"/>
          <w:szCs w:val="16"/>
          <w:lang w:val="en-GB"/>
        </w:rPr>
        <w:t>initial funding</w:t>
      </w:r>
      <w:r w:rsidR="00283E69" w:rsidRPr="00205082">
        <w:rPr>
          <w:rFonts w:ascii="Arial" w:hAnsi="Arial" w:cs="Arial"/>
          <w:color w:val="000000" w:themeColor="text1"/>
          <w:sz w:val="16"/>
          <w:szCs w:val="16"/>
          <w:lang w:val="en-GB"/>
        </w:rPr>
        <w:t xml:space="preserve">) </w:t>
      </w:r>
      <w:r w:rsidR="001D30E3" w:rsidRPr="00205082">
        <w:rPr>
          <w:rFonts w:ascii="Arial" w:hAnsi="Arial" w:cs="Arial"/>
          <w:color w:val="000000" w:themeColor="text1"/>
          <w:sz w:val="16"/>
          <w:szCs w:val="16"/>
          <w:lang w:val="en-GB"/>
        </w:rPr>
        <w:t xml:space="preserve">is not the current maintenance </w:t>
      </w:r>
      <w:r w:rsidR="00205082" w:rsidRPr="00205082">
        <w:rPr>
          <w:rFonts w:ascii="Arial" w:hAnsi="Arial" w:cs="Arial"/>
          <w:color w:val="000000" w:themeColor="text1"/>
          <w:sz w:val="16"/>
          <w:szCs w:val="16"/>
          <w:lang w:val="en-GB"/>
        </w:rPr>
        <w:t xml:space="preserve">of existing facilities in the preparation </w:t>
      </w:r>
      <w:r w:rsidR="0018378C">
        <w:rPr>
          <w:rFonts w:ascii="Arial" w:hAnsi="Arial" w:cs="Arial"/>
          <w:color w:val="000000" w:themeColor="text1"/>
          <w:sz w:val="16"/>
          <w:szCs w:val="16"/>
          <w:lang w:val="en-GB"/>
        </w:rPr>
        <w:t>for the upcoming season</w:t>
      </w:r>
      <w:r w:rsidR="00283E69" w:rsidRPr="00205082">
        <w:rPr>
          <w:rFonts w:ascii="Arial" w:hAnsi="Arial" w:cs="Arial"/>
          <w:color w:val="000000" w:themeColor="text1"/>
          <w:sz w:val="16"/>
          <w:szCs w:val="16"/>
          <w:lang w:val="en-GB"/>
        </w:rPr>
        <w:t>, o</w:t>
      </w:r>
      <w:r w:rsidR="00842B74">
        <w:rPr>
          <w:rFonts w:ascii="Arial" w:hAnsi="Arial" w:cs="Arial"/>
          <w:color w:val="000000" w:themeColor="text1"/>
          <w:sz w:val="16"/>
          <w:szCs w:val="16"/>
          <w:lang w:val="en-GB"/>
        </w:rPr>
        <w:t xml:space="preserve">r the retention of </w:t>
      </w:r>
      <w:r w:rsidR="00610AF9">
        <w:rPr>
          <w:rFonts w:ascii="Arial" w:hAnsi="Arial" w:cs="Arial"/>
          <w:color w:val="000000" w:themeColor="text1"/>
          <w:sz w:val="16"/>
          <w:szCs w:val="16"/>
          <w:lang w:val="en-GB"/>
        </w:rPr>
        <w:t>existing capacities without introducing additional facilities</w:t>
      </w:r>
      <w:r w:rsidR="00CD3928" w:rsidRPr="00205082">
        <w:rPr>
          <w:rFonts w:ascii="Arial" w:hAnsi="Arial" w:cs="Arial"/>
          <w:color w:val="000000" w:themeColor="text1"/>
          <w:sz w:val="16"/>
          <w:szCs w:val="16"/>
          <w:lang w:val="en-GB"/>
        </w:rPr>
        <w:t>.</w:t>
      </w:r>
    </w:p>
    <w:p w14:paraId="268D8FD7" w14:textId="16E3FDA6" w:rsidR="001C61BF" w:rsidRPr="00276F67" w:rsidRDefault="001C61BF">
      <w:pPr>
        <w:pStyle w:val="Tekstfusnote"/>
        <w:rPr>
          <w:rFonts w:ascii="Arial" w:hAnsi="Arial" w:cs="Arial"/>
          <w:sz w:val="16"/>
          <w:szCs w:val="16"/>
        </w:rPr>
      </w:pPr>
    </w:p>
  </w:footnote>
  <w:footnote w:id="3">
    <w:p w14:paraId="3CA564BF" w14:textId="11DBAB94" w:rsidR="00087C7B" w:rsidRPr="00D15E10" w:rsidRDefault="00087C7B" w:rsidP="00087C7B">
      <w:pPr>
        <w:spacing w:line="257" w:lineRule="auto"/>
        <w:ind w:left="-20" w:right="-20"/>
        <w:jc w:val="both"/>
        <w:rPr>
          <w:rFonts w:ascii="Arial" w:eastAsiaTheme="minorEastAsia" w:hAnsi="Arial" w:cs="Arial"/>
          <w:color w:val="000000" w:themeColor="text1"/>
          <w:sz w:val="16"/>
          <w:szCs w:val="16"/>
        </w:rPr>
      </w:pPr>
      <w:r w:rsidRPr="008C7AAE">
        <w:rPr>
          <w:rStyle w:val="Referencafusnote"/>
          <w:rFonts w:ascii="Arial" w:hAnsi="Arial" w:cs="Arial"/>
          <w:sz w:val="16"/>
          <w:szCs w:val="16"/>
        </w:rPr>
        <w:footnoteRef/>
      </w:r>
      <w:r w:rsidRPr="008C7AAE">
        <w:rPr>
          <w:rFonts w:ascii="Arial" w:hAnsi="Arial" w:cs="Arial"/>
          <w:sz w:val="16"/>
          <w:szCs w:val="16"/>
        </w:rPr>
        <w:t xml:space="preserve"> </w:t>
      </w:r>
      <w:r w:rsidR="00E5747D" w:rsidRPr="00D279DA">
        <w:rPr>
          <w:rFonts w:ascii="Arial" w:eastAsiaTheme="minorEastAsia" w:hAnsi="Arial" w:cs="Arial"/>
          <w:color w:val="000000" w:themeColor="text1"/>
          <w:sz w:val="16"/>
          <w:szCs w:val="16"/>
          <w:lang w:val="en-GB"/>
        </w:rPr>
        <w:t>Tourism De</w:t>
      </w:r>
      <w:r w:rsidR="00D279DA">
        <w:rPr>
          <w:rFonts w:ascii="Arial" w:eastAsiaTheme="minorEastAsia" w:hAnsi="Arial" w:cs="Arial"/>
          <w:color w:val="000000" w:themeColor="text1"/>
          <w:sz w:val="16"/>
          <w:szCs w:val="16"/>
          <w:lang w:val="en-GB"/>
        </w:rPr>
        <w:t>v</w:t>
      </w:r>
      <w:r w:rsidR="00E5747D" w:rsidRPr="00D279DA">
        <w:rPr>
          <w:rFonts w:ascii="Arial" w:eastAsiaTheme="minorEastAsia" w:hAnsi="Arial" w:cs="Arial"/>
          <w:color w:val="000000" w:themeColor="text1"/>
          <w:sz w:val="16"/>
          <w:szCs w:val="16"/>
          <w:lang w:val="en-GB"/>
        </w:rPr>
        <w:t>elopment Index of Local Government Units in the Republic of Croatia is a classification of local government in 5 categories</w:t>
      </w:r>
      <w:r w:rsidR="00D279DA" w:rsidRPr="00D279DA">
        <w:rPr>
          <w:rFonts w:ascii="Arial" w:eastAsiaTheme="minorEastAsia" w:hAnsi="Arial" w:cs="Arial"/>
          <w:color w:val="000000" w:themeColor="text1"/>
          <w:sz w:val="16"/>
          <w:szCs w:val="16"/>
          <w:lang w:val="en-GB"/>
        </w:rPr>
        <w:t xml:space="preserve"> of tourism development</w:t>
      </w:r>
      <w:r w:rsidRPr="00D279DA">
        <w:rPr>
          <w:rFonts w:ascii="Arial" w:eastAsiaTheme="minorEastAsia" w:hAnsi="Arial" w:cs="Arial"/>
          <w:color w:val="000000" w:themeColor="text1"/>
          <w:sz w:val="16"/>
          <w:szCs w:val="16"/>
          <w:lang w:val="en-GB"/>
        </w:rPr>
        <w:t xml:space="preserve"> (</w:t>
      </w:r>
      <w:r w:rsidR="00D279DA" w:rsidRPr="00D279DA">
        <w:rPr>
          <w:rFonts w:ascii="Arial" w:eastAsiaTheme="minorEastAsia" w:hAnsi="Arial" w:cs="Arial"/>
          <w:color w:val="000000" w:themeColor="text1"/>
          <w:sz w:val="16"/>
          <w:szCs w:val="16"/>
          <w:lang w:val="en-GB"/>
        </w:rPr>
        <w:t>TDI</w:t>
      </w:r>
      <w:r w:rsidRPr="00D279DA">
        <w:rPr>
          <w:rFonts w:ascii="Arial" w:eastAsiaTheme="minorEastAsia" w:hAnsi="Arial" w:cs="Arial"/>
          <w:color w:val="000000" w:themeColor="text1"/>
          <w:sz w:val="16"/>
          <w:szCs w:val="16"/>
          <w:lang w:val="en-GB"/>
        </w:rPr>
        <w:t xml:space="preserve"> 0,1,2,3,4) </w:t>
      </w:r>
      <w:r w:rsidR="00D279DA">
        <w:rPr>
          <w:rFonts w:ascii="Arial" w:eastAsiaTheme="minorEastAsia" w:hAnsi="Arial" w:cs="Arial"/>
          <w:color w:val="000000" w:themeColor="text1"/>
          <w:sz w:val="16"/>
          <w:szCs w:val="16"/>
          <w:lang w:val="en-GB"/>
        </w:rPr>
        <w:t xml:space="preserve">and </w:t>
      </w:r>
      <w:r w:rsidR="00711778">
        <w:rPr>
          <w:rFonts w:ascii="Arial" w:eastAsiaTheme="minorEastAsia" w:hAnsi="Arial" w:cs="Arial"/>
          <w:color w:val="000000" w:themeColor="text1"/>
          <w:sz w:val="16"/>
          <w:szCs w:val="16"/>
          <w:lang w:val="en-GB"/>
        </w:rPr>
        <w:t xml:space="preserve">is </w:t>
      </w:r>
      <w:r w:rsidR="00D279DA">
        <w:rPr>
          <w:rFonts w:ascii="Arial" w:eastAsiaTheme="minorEastAsia" w:hAnsi="Arial" w:cs="Arial"/>
          <w:color w:val="000000" w:themeColor="text1"/>
          <w:sz w:val="16"/>
          <w:szCs w:val="16"/>
          <w:lang w:val="en-GB"/>
        </w:rPr>
        <w:t>available</w:t>
      </w:r>
      <w:r w:rsidR="00711778">
        <w:rPr>
          <w:rFonts w:ascii="Arial" w:eastAsiaTheme="minorEastAsia" w:hAnsi="Arial" w:cs="Arial"/>
          <w:color w:val="000000" w:themeColor="text1"/>
          <w:sz w:val="16"/>
          <w:szCs w:val="16"/>
          <w:lang w:val="en-GB"/>
        </w:rPr>
        <w:t xml:space="preserve"> on </w:t>
      </w:r>
      <w:r w:rsidR="00A523C0">
        <w:rPr>
          <w:rFonts w:ascii="Arial" w:eastAsiaTheme="minorEastAsia" w:hAnsi="Arial" w:cs="Arial"/>
          <w:color w:val="000000" w:themeColor="text1"/>
          <w:sz w:val="16"/>
          <w:szCs w:val="16"/>
          <w:lang w:val="en-GB"/>
        </w:rPr>
        <w:t>the website</w:t>
      </w:r>
      <w:r w:rsidRPr="00D279DA">
        <w:rPr>
          <w:rFonts w:ascii="Arial" w:eastAsiaTheme="minorEastAsia" w:hAnsi="Arial" w:cs="Arial"/>
          <w:color w:val="000000" w:themeColor="text1"/>
          <w:sz w:val="16"/>
          <w:szCs w:val="16"/>
          <w:lang w:val="en-GB"/>
        </w:rPr>
        <w:t xml:space="preserve"> </w:t>
      </w:r>
      <w:r w:rsidR="00CE50BB">
        <w:rPr>
          <w:rFonts w:ascii="Arial" w:eastAsiaTheme="minorEastAsia" w:hAnsi="Arial" w:cs="Arial"/>
          <w:color w:val="000000" w:themeColor="text1"/>
          <w:sz w:val="16"/>
          <w:szCs w:val="16"/>
          <w:lang w:val="en-GB"/>
        </w:rPr>
        <w:t xml:space="preserve">of the </w:t>
      </w:r>
      <w:r w:rsidRPr="00D279DA">
        <w:rPr>
          <w:rFonts w:ascii="Arial" w:eastAsiaTheme="minorEastAsia" w:hAnsi="Arial" w:cs="Arial"/>
          <w:color w:val="000000" w:themeColor="text1"/>
          <w:sz w:val="16"/>
          <w:szCs w:val="16"/>
          <w:lang w:val="en-GB"/>
        </w:rPr>
        <w:t>Institut</w:t>
      </w:r>
      <w:r w:rsidR="001119AD">
        <w:rPr>
          <w:rFonts w:ascii="Arial" w:eastAsiaTheme="minorEastAsia" w:hAnsi="Arial" w:cs="Arial"/>
          <w:color w:val="000000" w:themeColor="text1"/>
          <w:sz w:val="16"/>
          <w:szCs w:val="16"/>
          <w:lang w:val="en-GB"/>
        </w:rPr>
        <w:t>e for Tourism</w:t>
      </w:r>
      <w:r w:rsidRPr="008C7AAE">
        <w:rPr>
          <w:rFonts w:ascii="Arial" w:eastAsiaTheme="minorEastAsia" w:hAnsi="Arial" w:cs="Arial"/>
          <w:color w:val="000000" w:themeColor="text1"/>
          <w:sz w:val="16"/>
          <w:szCs w:val="16"/>
        </w:rPr>
        <w:t xml:space="preserve">: </w:t>
      </w:r>
      <w:hyperlink r:id="rId1" w:history="1">
        <w:r w:rsidRPr="008C7AAE">
          <w:rPr>
            <w:rStyle w:val="Hiperveza"/>
            <w:rFonts w:ascii="Arial" w:eastAsia="Times New Roman" w:hAnsi="Arial" w:cs="Arial"/>
            <w:sz w:val="16"/>
            <w:szCs w:val="16"/>
          </w:rPr>
          <w:t>http://www.iztzg.hr/hr/itr/</w:t>
        </w:r>
      </w:hyperlink>
      <w:r>
        <w:rPr>
          <w:rFonts w:ascii="Arial" w:eastAsiaTheme="minorEastAsia" w:hAnsi="Arial" w:cs="Arial"/>
          <w:color w:val="000000" w:themeColor="text1"/>
          <w:sz w:val="16"/>
          <w:szCs w:val="16"/>
        </w:rPr>
        <w:t>.</w:t>
      </w:r>
      <w:r w:rsidRPr="008C7AAE">
        <w:rPr>
          <w:rFonts w:ascii="Arial" w:eastAsiaTheme="minorEastAsia" w:hAnsi="Arial" w:cs="Arial"/>
          <w:color w:val="000000" w:themeColor="text1"/>
          <w:sz w:val="16"/>
          <w:szCs w:val="16"/>
        </w:rPr>
        <w:t xml:space="preserve"> </w:t>
      </w:r>
    </w:p>
  </w:footnote>
  <w:footnote w:id="4">
    <w:p w14:paraId="2B4CD16D" w14:textId="42A2820B" w:rsidR="000C5923" w:rsidRPr="00657089" w:rsidRDefault="000C5923" w:rsidP="000C5923">
      <w:pPr>
        <w:pStyle w:val="Tekstfusnote"/>
        <w:jc w:val="both"/>
        <w:rPr>
          <w:rFonts w:ascii="Arial" w:eastAsiaTheme="minorEastAsia" w:hAnsi="Arial" w:cs="Arial"/>
          <w:color w:val="000000" w:themeColor="text1"/>
          <w:sz w:val="16"/>
          <w:szCs w:val="16"/>
          <w:lang w:val="en-GB"/>
        </w:rPr>
      </w:pPr>
      <w:r w:rsidRPr="00657089">
        <w:rPr>
          <w:rStyle w:val="Referencafusnote"/>
          <w:rFonts w:ascii="Arial" w:hAnsi="Arial" w:cs="Arial"/>
          <w:sz w:val="16"/>
          <w:szCs w:val="16"/>
          <w:lang w:val="en-GB"/>
        </w:rPr>
        <w:footnoteRef/>
      </w:r>
      <w:r w:rsidRPr="00657089">
        <w:rPr>
          <w:rFonts w:ascii="Arial" w:hAnsi="Arial" w:cs="Arial"/>
          <w:sz w:val="16"/>
          <w:szCs w:val="16"/>
          <w:lang w:val="en-GB"/>
        </w:rPr>
        <w:t xml:space="preserve"> </w:t>
      </w:r>
      <w:r w:rsidR="00657089" w:rsidRPr="00657089">
        <w:rPr>
          <w:rFonts w:ascii="Arial" w:eastAsiaTheme="minorEastAsia" w:hAnsi="Arial" w:cs="Arial"/>
          <w:color w:val="000000" w:themeColor="text1"/>
          <w:sz w:val="16"/>
          <w:szCs w:val="16"/>
          <w:lang w:val="en-GB"/>
        </w:rPr>
        <w:t xml:space="preserve">The accommodation capacities of hospitality establishments </w:t>
      </w:r>
      <w:r w:rsidR="00462C29">
        <w:rPr>
          <w:rFonts w:ascii="Arial" w:eastAsiaTheme="minorEastAsia" w:hAnsi="Arial" w:cs="Arial"/>
          <w:sz w:val="16"/>
          <w:szCs w:val="16"/>
          <w:lang w:val="en-GB"/>
        </w:rPr>
        <w:t>classified to</w:t>
      </w:r>
      <w:r w:rsidR="00657089" w:rsidRPr="00657089">
        <w:rPr>
          <w:rFonts w:ascii="Arial" w:eastAsiaTheme="minorEastAsia" w:hAnsi="Arial" w:cs="Arial"/>
          <w:color w:val="000000" w:themeColor="text1"/>
          <w:sz w:val="16"/>
          <w:szCs w:val="16"/>
          <w:lang w:val="en-GB"/>
        </w:rPr>
        <w:t xml:space="preserve"> the</w:t>
      </w:r>
      <w:r w:rsidRPr="00657089">
        <w:rPr>
          <w:rFonts w:ascii="Arial" w:eastAsiaTheme="minorEastAsia" w:hAnsi="Arial" w:cs="Arial"/>
          <w:color w:val="000000" w:themeColor="text1"/>
          <w:sz w:val="16"/>
          <w:szCs w:val="16"/>
          <w:lang w:val="en-GB"/>
        </w:rPr>
        <w:t xml:space="preserve"> „Hotel</w:t>
      </w:r>
      <w:r w:rsidR="00657089" w:rsidRPr="00657089">
        <w:rPr>
          <w:rFonts w:ascii="Arial" w:eastAsiaTheme="minorEastAsia" w:hAnsi="Arial" w:cs="Arial"/>
          <w:color w:val="000000" w:themeColor="text1"/>
          <w:sz w:val="16"/>
          <w:szCs w:val="16"/>
          <w:lang w:val="en-GB"/>
        </w:rPr>
        <w:t>s</w:t>
      </w:r>
      <w:r w:rsidRPr="00657089">
        <w:rPr>
          <w:rFonts w:ascii="Arial" w:eastAsiaTheme="minorEastAsia" w:hAnsi="Arial" w:cs="Arial"/>
          <w:color w:val="000000" w:themeColor="text1"/>
          <w:sz w:val="16"/>
          <w:szCs w:val="16"/>
          <w:lang w:val="en-GB"/>
        </w:rPr>
        <w:t xml:space="preserve">“ </w:t>
      </w:r>
      <w:r w:rsidR="00657089" w:rsidRPr="00657089">
        <w:rPr>
          <w:rFonts w:ascii="Arial" w:eastAsiaTheme="minorEastAsia" w:hAnsi="Arial" w:cs="Arial"/>
          <w:color w:val="000000" w:themeColor="text1"/>
          <w:sz w:val="16"/>
          <w:szCs w:val="16"/>
          <w:lang w:val="en-GB"/>
        </w:rPr>
        <w:t xml:space="preserve">group </w:t>
      </w:r>
      <w:r w:rsidR="00BC503B">
        <w:rPr>
          <w:rFonts w:ascii="Arial" w:eastAsiaTheme="minorEastAsia" w:hAnsi="Arial" w:cs="Arial"/>
          <w:color w:val="000000" w:themeColor="text1"/>
          <w:sz w:val="16"/>
          <w:szCs w:val="16"/>
          <w:lang w:val="en-GB"/>
        </w:rPr>
        <w:t>relate to the total number of</w:t>
      </w:r>
      <w:r w:rsidRPr="00657089">
        <w:rPr>
          <w:rFonts w:ascii="Arial" w:eastAsiaTheme="minorEastAsia" w:hAnsi="Arial" w:cs="Arial"/>
          <w:color w:val="000000" w:themeColor="text1"/>
          <w:sz w:val="16"/>
          <w:szCs w:val="16"/>
          <w:lang w:val="en-GB"/>
        </w:rPr>
        <w:t xml:space="preserve"> </w:t>
      </w:r>
      <w:r w:rsidR="00851774">
        <w:rPr>
          <w:rFonts w:ascii="Arial" w:eastAsiaTheme="minorEastAsia" w:hAnsi="Arial" w:cs="Arial"/>
          <w:color w:val="000000" w:themeColor="text1"/>
          <w:sz w:val="16"/>
          <w:szCs w:val="16"/>
          <w:lang w:val="en-GB"/>
        </w:rPr>
        <w:t>beds in the existing facility</w:t>
      </w:r>
      <w:r w:rsidRPr="00657089">
        <w:rPr>
          <w:rFonts w:ascii="Arial" w:eastAsiaTheme="minorEastAsia" w:hAnsi="Arial" w:cs="Arial"/>
          <w:color w:val="000000" w:themeColor="text1"/>
          <w:sz w:val="16"/>
          <w:szCs w:val="16"/>
          <w:lang w:val="en-GB"/>
        </w:rPr>
        <w:t xml:space="preserve">. </w:t>
      </w:r>
      <w:r w:rsidR="00851774">
        <w:rPr>
          <w:rFonts w:ascii="Arial" w:eastAsiaTheme="minorEastAsia" w:hAnsi="Arial" w:cs="Arial"/>
          <w:color w:val="000000" w:themeColor="text1"/>
          <w:sz w:val="16"/>
          <w:szCs w:val="16"/>
          <w:lang w:val="en-GB"/>
        </w:rPr>
        <w:t>An investment project</w:t>
      </w:r>
      <w:r w:rsidR="004F43A7">
        <w:rPr>
          <w:rFonts w:ascii="Arial" w:eastAsiaTheme="minorEastAsia" w:hAnsi="Arial" w:cs="Arial"/>
          <w:color w:val="000000" w:themeColor="text1"/>
          <w:sz w:val="16"/>
          <w:szCs w:val="16"/>
          <w:lang w:val="en-GB"/>
        </w:rPr>
        <w:t xml:space="preserve"> in TDI category</w:t>
      </w:r>
      <w:r w:rsidRPr="00657089">
        <w:rPr>
          <w:rFonts w:ascii="Arial" w:eastAsiaTheme="minorEastAsia" w:hAnsi="Arial" w:cs="Arial"/>
          <w:color w:val="000000" w:themeColor="text1"/>
          <w:sz w:val="16"/>
          <w:szCs w:val="16"/>
          <w:lang w:val="en-GB"/>
        </w:rPr>
        <w:t xml:space="preserve"> 1 </w:t>
      </w:r>
      <w:r w:rsidR="004F43A7">
        <w:rPr>
          <w:rFonts w:ascii="Arial" w:eastAsiaTheme="minorEastAsia" w:hAnsi="Arial" w:cs="Arial"/>
          <w:color w:val="000000" w:themeColor="text1"/>
          <w:sz w:val="16"/>
          <w:szCs w:val="16"/>
          <w:lang w:val="en-GB"/>
        </w:rPr>
        <w:t xml:space="preserve">in hospitality establishments for accommodation </w:t>
      </w:r>
      <w:r w:rsidR="002E2BCA">
        <w:rPr>
          <w:rFonts w:ascii="Arial" w:eastAsiaTheme="minorEastAsia" w:hAnsi="Arial" w:cs="Arial"/>
          <w:color w:val="000000" w:themeColor="text1"/>
          <w:sz w:val="16"/>
          <w:szCs w:val="16"/>
          <w:lang w:val="en-GB"/>
        </w:rPr>
        <w:t>must not</w:t>
      </w:r>
      <w:r w:rsidRPr="00657089">
        <w:rPr>
          <w:rFonts w:ascii="Arial" w:eastAsiaTheme="minorEastAsia" w:hAnsi="Arial" w:cs="Arial"/>
          <w:color w:val="000000" w:themeColor="text1"/>
          <w:sz w:val="16"/>
          <w:szCs w:val="16"/>
          <w:lang w:val="en-GB"/>
        </w:rPr>
        <w:t xml:space="preserve"> </w:t>
      </w:r>
      <w:r w:rsidR="002E2BCA">
        <w:rPr>
          <w:rFonts w:ascii="Arial" w:eastAsiaTheme="minorEastAsia" w:hAnsi="Arial" w:cs="Arial"/>
          <w:color w:val="000000" w:themeColor="text1"/>
          <w:sz w:val="16"/>
          <w:szCs w:val="16"/>
          <w:lang w:val="en-GB"/>
        </w:rPr>
        <w:t>res</w:t>
      </w:r>
      <w:r w:rsidR="0030544E">
        <w:rPr>
          <w:rFonts w:ascii="Arial" w:eastAsiaTheme="minorEastAsia" w:hAnsi="Arial" w:cs="Arial"/>
          <w:color w:val="000000" w:themeColor="text1"/>
          <w:sz w:val="16"/>
          <w:szCs w:val="16"/>
          <w:lang w:val="en-GB"/>
        </w:rPr>
        <w:t>u</w:t>
      </w:r>
      <w:r w:rsidR="002E2BCA">
        <w:rPr>
          <w:rFonts w:ascii="Arial" w:eastAsiaTheme="minorEastAsia" w:hAnsi="Arial" w:cs="Arial"/>
          <w:color w:val="000000" w:themeColor="text1"/>
          <w:sz w:val="16"/>
          <w:szCs w:val="16"/>
          <w:lang w:val="en-GB"/>
        </w:rPr>
        <w:t>lt in an increase in accommodation capacities</w:t>
      </w:r>
      <w:r w:rsidRPr="00657089">
        <w:rPr>
          <w:rFonts w:ascii="Arial" w:eastAsiaTheme="minorEastAsia" w:hAnsi="Arial" w:cs="Arial"/>
          <w:color w:val="000000" w:themeColor="text1"/>
          <w:sz w:val="16"/>
          <w:szCs w:val="16"/>
          <w:lang w:val="en-GB"/>
        </w:rPr>
        <w:t xml:space="preserve"> </w:t>
      </w:r>
      <w:r w:rsidR="004A72DB">
        <w:rPr>
          <w:rFonts w:ascii="Arial" w:eastAsiaTheme="minorEastAsia" w:hAnsi="Arial" w:cs="Arial"/>
          <w:color w:val="000000" w:themeColor="text1"/>
          <w:sz w:val="16"/>
          <w:szCs w:val="16"/>
          <w:lang w:val="en-GB"/>
        </w:rPr>
        <w:t>with respect to the accommod</w:t>
      </w:r>
      <w:r w:rsidR="00B2362E">
        <w:rPr>
          <w:rFonts w:ascii="Arial" w:eastAsiaTheme="minorEastAsia" w:hAnsi="Arial" w:cs="Arial"/>
          <w:color w:val="000000" w:themeColor="text1"/>
          <w:sz w:val="16"/>
          <w:szCs w:val="16"/>
          <w:lang w:val="en-GB"/>
        </w:rPr>
        <w:t xml:space="preserve">ation </w:t>
      </w:r>
      <w:r w:rsidR="00972A35">
        <w:rPr>
          <w:rFonts w:ascii="Arial" w:eastAsiaTheme="minorEastAsia" w:hAnsi="Arial" w:cs="Arial"/>
          <w:color w:val="000000" w:themeColor="text1"/>
          <w:sz w:val="16"/>
          <w:szCs w:val="16"/>
          <w:lang w:val="en-GB"/>
        </w:rPr>
        <w:t xml:space="preserve">capacity in the existing </w:t>
      </w:r>
      <w:r w:rsidR="0058174E">
        <w:rPr>
          <w:rFonts w:ascii="Arial" w:eastAsiaTheme="minorEastAsia" w:hAnsi="Arial" w:cs="Arial"/>
          <w:color w:val="000000" w:themeColor="text1"/>
          <w:sz w:val="16"/>
          <w:szCs w:val="16"/>
          <w:lang w:val="en-GB"/>
        </w:rPr>
        <w:t xml:space="preserve">hospitality establishment which is part </w:t>
      </w:r>
      <w:r w:rsidR="008E2877">
        <w:rPr>
          <w:rFonts w:ascii="Arial" w:eastAsiaTheme="minorEastAsia" w:hAnsi="Arial" w:cs="Arial"/>
          <w:color w:val="000000" w:themeColor="text1"/>
          <w:sz w:val="16"/>
          <w:szCs w:val="16"/>
          <w:lang w:val="en-GB"/>
        </w:rPr>
        <w:t>of the project, as evidenced by a valid decision on the performance of hospitality activities in</w:t>
      </w:r>
      <w:r w:rsidR="0030544E">
        <w:rPr>
          <w:rFonts w:ascii="Arial" w:eastAsiaTheme="minorEastAsia" w:hAnsi="Arial" w:cs="Arial"/>
          <w:color w:val="000000" w:themeColor="text1"/>
          <w:sz w:val="16"/>
          <w:szCs w:val="16"/>
          <w:lang w:val="en-GB"/>
        </w:rPr>
        <w:t xml:space="preserve"> </w:t>
      </w:r>
      <w:r w:rsidR="00D55A63">
        <w:rPr>
          <w:rFonts w:ascii="Arial" w:eastAsiaTheme="minorEastAsia" w:hAnsi="Arial" w:cs="Arial"/>
          <w:color w:val="000000" w:themeColor="text1"/>
          <w:sz w:val="16"/>
          <w:szCs w:val="16"/>
          <w:lang w:val="en-GB"/>
        </w:rPr>
        <w:t>the groups</w:t>
      </w:r>
      <w:r w:rsidRPr="00657089">
        <w:rPr>
          <w:rFonts w:ascii="Arial" w:eastAsiaTheme="minorEastAsia" w:hAnsi="Arial" w:cs="Arial"/>
          <w:color w:val="000000" w:themeColor="text1"/>
          <w:sz w:val="16"/>
          <w:szCs w:val="16"/>
          <w:lang w:val="en-GB"/>
        </w:rPr>
        <w:t xml:space="preserve"> </w:t>
      </w:r>
      <w:r w:rsidR="00C83E8B">
        <w:rPr>
          <w:rFonts w:ascii="Arial" w:eastAsiaTheme="minorEastAsia" w:hAnsi="Arial" w:cs="Arial"/>
          <w:color w:val="000000" w:themeColor="text1"/>
          <w:sz w:val="16"/>
          <w:szCs w:val="16"/>
          <w:lang w:val="en-GB"/>
        </w:rPr>
        <w:t>“</w:t>
      </w:r>
      <w:r w:rsidRPr="00657089">
        <w:rPr>
          <w:rFonts w:ascii="Arial" w:eastAsiaTheme="minorEastAsia" w:hAnsi="Arial" w:cs="Arial"/>
          <w:color w:val="000000" w:themeColor="text1"/>
          <w:sz w:val="16"/>
          <w:szCs w:val="16"/>
          <w:lang w:val="en-GB"/>
        </w:rPr>
        <w:t>Hotel</w:t>
      </w:r>
      <w:r w:rsidR="0030544E">
        <w:rPr>
          <w:rFonts w:ascii="Arial" w:eastAsiaTheme="minorEastAsia" w:hAnsi="Arial" w:cs="Arial"/>
          <w:color w:val="000000" w:themeColor="text1"/>
          <w:sz w:val="16"/>
          <w:szCs w:val="16"/>
          <w:lang w:val="en-GB"/>
        </w:rPr>
        <w:t>s</w:t>
      </w:r>
      <w:r w:rsidRPr="00657089">
        <w:rPr>
          <w:rFonts w:ascii="Arial" w:eastAsiaTheme="minorEastAsia" w:hAnsi="Arial" w:cs="Arial"/>
          <w:color w:val="000000" w:themeColor="text1"/>
          <w:sz w:val="16"/>
          <w:szCs w:val="16"/>
          <w:lang w:val="en-GB"/>
        </w:rPr>
        <w:t xml:space="preserve">“, </w:t>
      </w:r>
      <w:r w:rsidR="00C83E8B">
        <w:rPr>
          <w:rFonts w:ascii="Arial" w:eastAsiaTheme="minorEastAsia" w:hAnsi="Arial" w:cs="Arial"/>
          <w:color w:val="000000" w:themeColor="text1"/>
          <w:sz w:val="16"/>
          <w:szCs w:val="16"/>
          <w:lang w:val="en-GB"/>
        </w:rPr>
        <w:t>“</w:t>
      </w:r>
      <w:r w:rsidR="0030544E">
        <w:rPr>
          <w:rFonts w:ascii="Arial" w:eastAsiaTheme="minorEastAsia" w:hAnsi="Arial" w:cs="Arial"/>
          <w:color w:val="000000" w:themeColor="text1"/>
          <w:sz w:val="16"/>
          <w:szCs w:val="16"/>
          <w:lang w:val="en-GB"/>
        </w:rPr>
        <w:t>Camping sites</w:t>
      </w:r>
      <w:r w:rsidRPr="00657089">
        <w:rPr>
          <w:rFonts w:ascii="Arial" w:eastAsiaTheme="minorEastAsia" w:hAnsi="Arial" w:cs="Arial"/>
          <w:color w:val="000000" w:themeColor="text1"/>
          <w:sz w:val="16"/>
          <w:szCs w:val="16"/>
          <w:lang w:val="en-GB"/>
        </w:rPr>
        <w:t xml:space="preserve">“ </w:t>
      </w:r>
      <w:r w:rsidR="0030544E">
        <w:rPr>
          <w:rFonts w:ascii="Arial" w:eastAsiaTheme="minorEastAsia" w:hAnsi="Arial" w:cs="Arial"/>
          <w:color w:val="000000" w:themeColor="text1"/>
          <w:sz w:val="16"/>
          <w:szCs w:val="16"/>
          <w:lang w:val="en-GB"/>
        </w:rPr>
        <w:t>and other hospitality establishments for accommodation</w:t>
      </w:r>
      <w:r w:rsidRPr="00657089">
        <w:rPr>
          <w:rFonts w:ascii="Arial" w:eastAsiaTheme="minorEastAsia" w:hAnsi="Arial" w:cs="Arial"/>
          <w:color w:val="000000" w:themeColor="text1"/>
          <w:sz w:val="16"/>
          <w:szCs w:val="16"/>
          <w:lang w:val="en-GB"/>
        </w:rPr>
        <w:t xml:space="preserve"> </w:t>
      </w:r>
      <w:r w:rsidR="0030544E">
        <w:rPr>
          <w:rFonts w:ascii="Arial" w:eastAsiaTheme="minorEastAsia" w:hAnsi="Arial" w:cs="Arial"/>
          <w:color w:val="000000" w:themeColor="text1"/>
          <w:sz w:val="16"/>
          <w:szCs w:val="16"/>
          <w:lang w:val="en-GB"/>
        </w:rPr>
        <w:t>and the valid decision on the provision</w:t>
      </w:r>
      <w:r w:rsidRPr="00657089">
        <w:rPr>
          <w:rFonts w:ascii="Arial" w:eastAsiaTheme="minorEastAsia" w:hAnsi="Arial" w:cs="Arial"/>
          <w:color w:val="000000" w:themeColor="text1"/>
          <w:sz w:val="16"/>
          <w:szCs w:val="16"/>
          <w:lang w:val="en-GB"/>
        </w:rPr>
        <w:t xml:space="preserve"> o</w:t>
      </w:r>
      <w:r w:rsidR="007A0CF4">
        <w:rPr>
          <w:rFonts w:ascii="Arial" w:eastAsiaTheme="minorEastAsia" w:hAnsi="Arial" w:cs="Arial"/>
          <w:color w:val="000000" w:themeColor="text1"/>
          <w:sz w:val="16"/>
          <w:szCs w:val="16"/>
          <w:lang w:val="en-GB"/>
        </w:rPr>
        <w:t>f hospitality services</w:t>
      </w:r>
      <w:r w:rsidRPr="00657089">
        <w:rPr>
          <w:rFonts w:ascii="Arial" w:eastAsiaTheme="minorEastAsia" w:hAnsi="Arial" w:cs="Arial"/>
          <w:color w:val="000000" w:themeColor="text1"/>
          <w:sz w:val="16"/>
          <w:szCs w:val="16"/>
          <w:lang w:val="en-GB"/>
        </w:rPr>
        <w:t xml:space="preserve">, </w:t>
      </w:r>
      <w:r w:rsidR="007A0CF4">
        <w:rPr>
          <w:rFonts w:ascii="Arial" w:eastAsiaTheme="minorEastAsia" w:hAnsi="Arial" w:cs="Arial"/>
          <w:color w:val="000000" w:themeColor="text1"/>
          <w:sz w:val="16"/>
          <w:szCs w:val="16"/>
          <w:lang w:val="en-GB"/>
        </w:rPr>
        <w:t>in accordance with the Ordinance</w:t>
      </w:r>
      <w:r w:rsidRPr="00657089">
        <w:rPr>
          <w:rFonts w:ascii="Arial" w:eastAsiaTheme="minorEastAsia" w:hAnsi="Arial" w:cs="Arial"/>
          <w:color w:val="000000" w:themeColor="text1"/>
          <w:sz w:val="16"/>
          <w:szCs w:val="16"/>
          <w:lang w:val="en-GB"/>
        </w:rPr>
        <w:t xml:space="preserve"> o</w:t>
      </w:r>
      <w:r w:rsidR="007A0CF4">
        <w:rPr>
          <w:rFonts w:ascii="Arial" w:eastAsiaTheme="minorEastAsia" w:hAnsi="Arial" w:cs="Arial"/>
          <w:color w:val="000000" w:themeColor="text1"/>
          <w:sz w:val="16"/>
          <w:szCs w:val="16"/>
          <w:lang w:val="en-GB"/>
        </w:rPr>
        <w:t>n</w:t>
      </w:r>
      <w:r w:rsidR="003B760D">
        <w:rPr>
          <w:rFonts w:ascii="Arial" w:eastAsiaTheme="minorEastAsia" w:hAnsi="Arial" w:cs="Arial"/>
          <w:color w:val="000000" w:themeColor="text1"/>
          <w:sz w:val="16"/>
          <w:szCs w:val="16"/>
          <w:lang w:val="en-GB"/>
        </w:rPr>
        <w:t xml:space="preserve"> the Classification, Categorisation</w:t>
      </w:r>
      <w:r w:rsidRPr="00657089">
        <w:rPr>
          <w:rFonts w:ascii="Arial" w:eastAsiaTheme="minorEastAsia" w:hAnsi="Arial" w:cs="Arial"/>
          <w:color w:val="000000" w:themeColor="text1"/>
          <w:sz w:val="16"/>
          <w:szCs w:val="16"/>
          <w:lang w:val="en-GB"/>
        </w:rPr>
        <w:t xml:space="preserve"> </w:t>
      </w:r>
      <w:r w:rsidR="003B760D">
        <w:rPr>
          <w:rFonts w:ascii="Arial" w:eastAsiaTheme="minorEastAsia" w:hAnsi="Arial" w:cs="Arial"/>
          <w:color w:val="000000" w:themeColor="text1"/>
          <w:sz w:val="16"/>
          <w:szCs w:val="16"/>
          <w:lang w:val="en-GB"/>
        </w:rPr>
        <w:t>and Special Standards</w:t>
      </w:r>
      <w:r w:rsidRPr="00657089">
        <w:rPr>
          <w:rFonts w:ascii="Arial" w:eastAsiaTheme="minorEastAsia" w:hAnsi="Arial" w:cs="Arial"/>
          <w:color w:val="000000" w:themeColor="text1"/>
          <w:sz w:val="16"/>
          <w:szCs w:val="16"/>
          <w:lang w:val="en-GB"/>
        </w:rPr>
        <w:t xml:space="preserve"> </w:t>
      </w:r>
      <w:r w:rsidR="00785256">
        <w:rPr>
          <w:rFonts w:ascii="Arial" w:eastAsiaTheme="minorEastAsia" w:hAnsi="Arial" w:cs="Arial"/>
          <w:color w:val="000000" w:themeColor="text1"/>
          <w:sz w:val="16"/>
          <w:szCs w:val="16"/>
          <w:lang w:val="en-GB"/>
        </w:rPr>
        <w:t>of Hospitality Establishments in the</w:t>
      </w:r>
      <w:r w:rsidRPr="00657089">
        <w:rPr>
          <w:rFonts w:ascii="Arial" w:eastAsiaTheme="minorEastAsia" w:hAnsi="Arial" w:cs="Arial"/>
          <w:color w:val="000000" w:themeColor="text1"/>
          <w:sz w:val="16"/>
          <w:szCs w:val="16"/>
          <w:lang w:val="en-GB"/>
        </w:rPr>
        <w:t xml:space="preserve"> Hotel</w:t>
      </w:r>
      <w:r w:rsidR="00AA52C9">
        <w:rPr>
          <w:rFonts w:ascii="Arial" w:eastAsiaTheme="minorEastAsia" w:hAnsi="Arial" w:cs="Arial"/>
          <w:color w:val="000000" w:themeColor="text1"/>
          <w:sz w:val="16"/>
          <w:szCs w:val="16"/>
          <w:lang w:val="en-GB"/>
        </w:rPr>
        <w:t xml:space="preserve">s group </w:t>
      </w:r>
      <w:r w:rsidRPr="00657089">
        <w:rPr>
          <w:rFonts w:ascii="Arial" w:eastAsiaTheme="minorEastAsia" w:hAnsi="Arial" w:cs="Arial"/>
          <w:color w:val="000000" w:themeColor="text1"/>
          <w:sz w:val="16"/>
          <w:szCs w:val="16"/>
          <w:lang w:val="en-GB"/>
        </w:rPr>
        <w:t>(</w:t>
      </w:r>
      <w:r w:rsidR="00AA52C9">
        <w:rPr>
          <w:rFonts w:ascii="Arial" w:eastAsiaTheme="minorEastAsia" w:hAnsi="Arial" w:cs="Arial"/>
          <w:color w:val="000000" w:themeColor="text1"/>
          <w:sz w:val="16"/>
          <w:szCs w:val="16"/>
          <w:lang w:val="en-GB"/>
        </w:rPr>
        <w:t xml:space="preserve">Official Gazette of the Republic of Croatia Nos. </w:t>
      </w:r>
      <w:r w:rsidRPr="00657089">
        <w:rPr>
          <w:rFonts w:ascii="Arial" w:eastAsiaTheme="minorEastAsia" w:hAnsi="Arial" w:cs="Arial"/>
          <w:color w:val="000000" w:themeColor="text1"/>
          <w:sz w:val="16"/>
          <w:szCs w:val="16"/>
          <w:lang w:val="en-GB"/>
        </w:rPr>
        <w:t xml:space="preserve">56/16, 120/19), </w:t>
      </w:r>
      <w:r w:rsidR="00AA52C9">
        <w:rPr>
          <w:rFonts w:ascii="Arial" w:eastAsiaTheme="minorEastAsia" w:hAnsi="Arial" w:cs="Arial"/>
          <w:color w:val="000000" w:themeColor="text1"/>
          <w:sz w:val="16"/>
          <w:szCs w:val="16"/>
          <w:lang w:val="en-GB"/>
        </w:rPr>
        <w:t>Ordinance on Class</w:t>
      </w:r>
      <w:r w:rsidR="002F50E2">
        <w:rPr>
          <w:rFonts w:ascii="Arial" w:eastAsiaTheme="minorEastAsia" w:hAnsi="Arial" w:cs="Arial"/>
          <w:color w:val="000000" w:themeColor="text1"/>
          <w:sz w:val="16"/>
          <w:szCs w:val="16"/>
          <w:lang w:val="en-GB"/>
        </w:rPr>
        <w:t>i</w:t>
      </w:r>
      <w:r w:rsidR="00AA52C9">
        <w:rPr>
          <w:rFonts w:ascii="Arial" w:eastAsiaTheme="minorEastAsia" w:hAnsi="Arial" w:cs="Arial"/>
          <w:color w:val="000000" w:themeColor="text1"/>
          <w:sz w:val="16"/>
          <w:szCs w:val="16"/>
          <w:lang w:val="en-GB"/>
        </w:rPr>
        <w:t xml:space="preserve">fication and Categorisation  of Hospitality Establishments </w:t>
      </w:r>
      <w:r w:rsidR="002F50E2">
        <w:rPr>
          <w:rFonts w:ascii="Arial" w:eastAsiaTheme="minorEastAsia" w:hAnsi="Arial" w:cs="Arial"/>
          <w:color w:val="000000" w:themeColor="text1"/>
          <w:sz w:val="16"/>
          <w:szCs w:val="16"/>
          <w:lang w:val="en-GB"/>
        </w:rPr>
        <w:t xml:space="preserve">from the </w:t>
      </w:r>
      <w:r w:rsidR="007A3E35">
        <w:rPr>
          <w:rFonts w:ascii="Arial" w:eastAsiaTheme="minorEastAsia" w:hAnsi="Arial" w:cs="Arial"/>
          <w:color w:val="000000" w:themeColor="text1"/>
          <w:sz w:val="16"/>
          <w:szCs w:val="16"/>
          <w:lang w:val="en-GB"/>
        </w:rPr>
        <w:t>G</w:t>
      </w:r>
      <w:r w:rsidR="002F50E2">
        <w:rPr>
          <w:rFonts w:ascii="Arial" w:eastAsiaTheme="minorEastAsia" w:hAnsi="Arial" w:cs="Arial"/>
          <w:color w:val="000000" w:themeColor="text1"/>
          <w:sz w:val="16"/>
          <w:szCs w:val="16"/>
          <w:lang w:val="en-GB"/>
        </w:rPr>
        <w:t xml:space="preserve">roup of </w:t>
      </w:r>
      <w:r w:rsidR="007A3E35">
        <w:rPr>
          <w:rFonts w:ascii="Arial" w:eastAsiaTheme="minorEastAsia" w:hAnsi="Arial" w:cs="Arial"/>
          <w:color w:val="000000" w:themeColor="text1"/>
          <w:sz w:val="16"/>
          <w:szCs w:val="16"/>
          <w:lang w:val="en-GB"/>
        </w:rPr>
        <w:t>O</w:t>
      </w:r>
      <w:r w:rsidR="002F50E2">
        <w:rPr>
          <w:rFonts w:ascii="Arial" w:eastAsiaTheme="minorEastAsia" w:hAnsi="Arial" w:cs="Arial"/>
          <w:color w:val="000000" w:themeColor="text1"/>
          <w:sz w:val="16"/>
          <w:szCs w:val="16"/>
          <w:lang w:val="en-GB"/>
        </w:rPr>
        <w:t xml:space="preserve">ther </w:t>
      </w:r>
      <w:r w:rsidR="003F7801">
        <w:rPr>
          <w:rFonts w:ascii="Arial" w:eastAsiaTheme="minorEastAsia" w:hAnsi="Arial" w:cs="Arial"/>
          <w:color w:val="000000" w:themeColor="text1"/>
          <w:sz w:val="16"/>
          <w:szCs w:val="16"/>
          <w:lang w:val="en-GB"/>
        </w:rPr>
        <w:t>Hospitality Establishments for Accommodation</w:t>
      </w:r>
      <w:r w:rsidRPr="00657089">
        <w:rPr>
          <w:rFonts w:ascii="Arial" w:eastAsiaTheme="minorEastAsia" w:hAnsi="Arial" w:cs="Arial"/>
          <w:color w:val="000000" w:themeColor="text1"/>
          <w:sz w:val="16"/>
          <w:szCs w:val="16"/>
          <w:lang w:val="en-GB"/>
        </w:rPr>
        <w:t xml:space="preserve"> (</w:t>
      </w:r>
      <w:r w:rsidR="007A3E35">
        <w:rPr>
          <w:rFonts w:ascii="Arial" w:eastAsiaTheme="minorEastAsia" w:hAnsi="Arial" w:cs="Arial"/>
          <w:color w:val="000000" w:themeColor="text1"/>
          <w:sz w:val="16"/>
          <w:szCs w:val="16"/>
          <w:lang w:val="en-GB"/>
        </w:rPr>
        <w:t>Official Gazette Nos.</w:t>
      </w:r>
      <w:r w:rsidRPr="00657089">
        <w:rPr>
          <w:rFonts w:ascii="Arial" w:eastAsiaTheme="minorEastAsia" w:hAnsi="Arial" w:cs="Arial"/>
          <w:color w:val="000000" w:themeColor="text1"/>
          <w:sz w:val="16"/>
          <w:szCs w:val="16"/>
          <w:lang w:val="en-GB"/>
        </w:rPr>
        <w:t xml:space="preserve"> 54/16, 69/17), </w:t>
      </w:r>
      <w:r w:rsidR="007A3E35">
        <w:rPr>
          <w:rFonts w:ascii="Arial" w:eastAsiaTheme="minorEastAsia" w:hAnsi="Arial" w:cs="Arial"/>
          <w:color w:val="000000" w:themeColor="text1"/>
          <w:sz w:val="16"/>
          <w:szCs w:val="16"/>
          <w:lang w:val="en-GB"/>
        </w:rPr>
        <w:t xml:space="preserve">Ordinance on the Classification and Categorisation of </w:t>
      </w:r>
      <w:r w:rsidR="00E83EE1">
        <w:rPr>
          <w:rFonts w:ascii="Arial" w:eastAsiaTheme="minorEastAsia" w:hAnsi="Arial" w:cs="Arial"/>
          <w:color w:val="000000" w:themeColor="text1"/>
          <w:sz w:val="16"/>
          <w:szCs w:val="16"/>
          <w:lang w:val="en-GB"/>
        </w:rPr>
        <w:t>E</w:t>
      </w:r>
      <w:r w:rsidR="00552B88">
        <w:rPr>
          <w:rFonts w:ascii="Arial" w:eastAsiaTheme="minorEastAsia" w:hAnsi="Arial" w:cs="Arial"/>
          <w:color w:val="000000" w:themeColor="text1"/>
          <w:sz w:val="16"/>
          <w:szCs w:val="16"/>
          <w:lang w:val="en-GB"/>
        </w:rPr>
        <w:t>stablishments Providing</w:t>
      </w:r>
      <w:r w:rsidRPr="00657089">
        <w:rPr>
          <w:rFonts w:ascii="Arial" w:eastAsiaTheme="minorEastAsia" w:hAnsi="Arial" w:cs="Arial"/>
          <w:color w:val="000000" w:themeColor="text1"/>
          <w:sz w:val="16"/>
          <w:szCs w:val="16"/>
          <w:lang w:val="en-GB"/>
        </w:rPr>
        <w:t xml:space="preserve"> </w:t>
      </w:r>
      <w:r w:rsidR="00552B88">
        <w:rPr>
          <w:rFonts w:ascii="Arial" w:eastAsiaTheme="minorEastAsia" w:hAnsi="Arial" w:cs="Arial"/>
          <w:color w:val="000000" w:themeColor="text1"/>
          <w:sz w:val="16"/>
          <w:szCs w:val="16"/>
          <w:lang w:val="en-GB"/>
        </w:rPr>
        <w:t>Hospitality Services</w:t>
      </w:r>
      <w:r w:rsidRPr="00657089">
        <w:rPr>
          <w:rFonts w:ascii="Arial" w:eastAsiaTheme="minorEastAsia" w:hAnsi="Arial" w:cs="Arial"/>
          <w:color w:val="000000" w:themeColor="text1"/>
          <w:sz w:val="16"/>
          <w:szCs w:val="16"/>
          <w:lang w:val="en-GB"/>
        </w:rPr>
        <w:t xml:space="preserve"> </w:t>
      </w:r>
      <w:r w:rsidR="00332EC5">
        <w:rPr>
          <w:rFonts w:ascii="Arial" w:eastAsiaTheme="minorEastAsia" w:hAnsi="Arial" w:cs="Arial"/>
          <w:color w:val="000000" w:themeColor="text1"/>
          <w:sz w:val="16"/>
          <w:szCs w:val="16"/>
          <w:lang w:val="en-GB"/>
        </w:rPr>
        <w:t>in Households</w:t>
      </w:r>
      <w:r w:rsidRPr="00657089">
        <w:rPr>
          <w:rFonts w:ascii="Arial" w:eastAsiaTheme="minorEastAsia" w:hAnsi="Arial" w:cs="Arial"/>
          <w:color w:val="000000" w:themeColor="text1"/>
          <w:sz w:val="16"/>
          <w:szCs w:val="16"/>
          <w:lang w:val="en-GB"/>
        </w:rPr>
        <w:t xml:space="preserve"> (</w:t>
      </w:r>
      <w:r w:rsidR="00332EC5">
        <w:rPr>
          <w:rFonts w:ascii="Arial" w:eastAsiaTheme="minorEastAsia" w:hAnsi="Arial" w:cs="Arial"/>
          <w:color w:val="000000" w:themeColor="text1"/>
          <w:sz w:val="16"/>
          <w:szCs w:val="16"/>
          <w:lang w:val="en-GB"/>
        </w:rPr>
        <w:t xml:space="preserve">Official Gazette Nos. </w:t>
      </w:r>
      <w:r w:rsidRPr="00657089">
        <w:rPr>
          <w:rFonts w:ascii="Arial" w:eastAsiaTheme="minorEastAsia" w:hAnsi="Arial" w:cs="Arial"/>
          <w:color w:val="000000" w:themeColor="text1"/>
          <w:sz w:val="16"/>
          <w:szCs w:val="16"/>
          <w:lang w:val="en-GB"/>
        </w:rPr>
        <w:t xml:space="preserve">9/16, 54/16, 61/16; 69/17, 120/19) </w:t>
      </w:r>
      <w:r w:rsidR="00332EC5">
        <w:rPr>
          <w:rFonts w:ascii="Arial" w:eastAsiaTheme="minorEastAsia" w:hAnsi="Arial" w:cs="Arial"/>
          <w:color w:val="000000" w:themeColor="text1"/>
          <w:sz w:val="16"/>
          <w:szCs w:val="16"/>
          <w:lang w:val="en-GB"/>
        </w:rPr>
        <w:t xml:space="preserve">and the Ordinance on the Classification and Categorisation of </w:t>
      </w:r>
      <w:r w:rsidR="00DE12E5">
        <w:rPr>
          <w:rFonts w:ascii="Arial" w:eastAsiaTheme="minorEastAsia" w:hAnsi="Arial" w:cs="Arial"/>
          <w:color w:val="000000" w:themeColor="text1"/>
          <w:sz w:val="16"/>
          <w:szCs w:val="16"/>
          <w:lang w:val="en-GB"/>
        </w:rPr>
        <w:t xml:space="preserve">Hospitality Establishments from the </w:t>
      </w:r>
      <w:r w:rsidR="00C83E8B">
        <w:rPr>
          <w:rFonts w:ascii="Arial" w:eastAsiaTheme="minorEastAsia" w:hAnsi="Arial" w:cs="Arial"/>
          <w:color w:val="000000" w:themeColor="text1"/>
          <w:sz w:val="16"/>
          <w:szCs w:val="16"/>
          <w:lang w:val="en-GB"/>
        </w:rPr>
        <w:t>“</w:t>
      </w:r>
      <w:r w:rsidR="00DE12E5">
        <w:rPr>
          <w:rFonts w:ascii="Arial" w:eastAsiaTheme="minorEastAsia" w:hAnsi="Arial" w:cs="Arial"/>
          <w:color w:val="000000" w:themeColor="text1"/>
          <w:sz w:val="16"/>
          <w:szCs w:val="16"/>
          <w:lang w:val="en-GB"/>
        </w:rPr>
        <w:t>Camping Sites</w:t>
      </w:r>
      <w:r w:rsidR="00C83E8B">
        <w:rPr>
          <w:rFonts w:ascii="Arial" w:eastAsiaTheme="minorEastAsia" w:hAnsi="Arial" w:cs="Arial"/>
          <w:color w:val="000000" w:themeColor="text1"/>
          <w:sz w:val="16"/>
          <w:szCs w:val="16"/>
          <w:lang w:val="en-GB"/>
        </w:rPr>
        <w:t>”</w:t>
      </w:r>
      <w:r w:rsidR="00DE12E5">
        <w:rPr>
          <w:rFonts w:ascii="Arial" w:eastAsiaTheme="minorEastAsia" w:hAnsi="Arial" w:cs="Arial"/>
          <w:color w:val="000000" w:themeColor="text1"/>
          <w:sz w:val="16"/>
          <w:szCs w:val="16"/>
          <w:lang w:val="en-GB"/>
        </w:rPr>
        <w:t xml:space="preserve"> group</w:t>
      </w:r>
      <w:r w:rsidRPr="00657089">
        <w:rPr>
          <w:rFonts w:ascii="Arial" w:eastAsiaTheme="minorEastAsia" w:hAnsi="Arial" w:cs="Arial"/>
          <w:color w:val="000000" w:themeColor="text1"/>
          <w:sz w:val="16"/>
          <w:szCs w:val="16"/>
          <w:lang w:val="en-GB"/>
        </w:rPr>
        <w:t xml:space="preserve"> (</w:t>
      </w:r>
      <w:r w:rsidR="00DE12E5">
        <w:rPr>
          <w:rFonts w:ascii="Arial" w:eastAsiaTheme="minorEastAsia" w:hAnsi="Arial" w:cs="Arial"/>
          <w:color w:val="000000" w:themeColor="text1"/>
          <w:sz w:val="16"/>
          <w:szCs w:val="16"/>
          <w:lang w:val="en-GB"/>
        </w:rPr>
        <w:t>Official Gazette Nos.</w:t>
      </w:r>
      <w:r w:rsidRPr="00657089">
        <w:rPr>
          <w:rFonts w:ascii="Arial" w:eastAsiaTheme="minorEastAsia" w:hAnsi="Arial" w:cs="Arial"/>
          <w:color w:val="000000" w:themeColor="text1"/>
          <w:sz w:val="16"/>
          <w:szCs w:val="16"/>
          <w:lang w:val="en-GB"/>
        </w:rPr>
        <w:t xml:space="preserve"> 54/16, 68/19, 120/19).</w:t>
      </w:r>
    </w:p>
    <w:p w14:paraId="3D0B168E" w14:textId="77777777" w:rsidR="000C5923" w:rsidRPr="00657089" w:rsidRDefault="000C5923" w:rsidP="000C5923">
      <w:pPr>
        <w:pStyle w:val="Tekstfusnote"/>
        <w:rPr>
          <w:rFonts w:ascii="Arial" w:hAnsi="Arial" w:cs="Arial"/>
          <w:sz w:val="16"/>
          <w:szCs w:val="16"/>
          <w:lang w:val="en-GB"/>
        </w:rPr>
      </w:pPr>
    </w:p>
  </w:footnote>
  <w:footnote w:id="5">
    <w:p w14:paraId="652F2532" w14:textId="123EE575" w:rsidR="00FA4CA7" w:rsidRPr="00B177A9" w:rsidRDefault="00FA4CA7" w:rsidP="00FA4CA7">
      <w:pPr>
        <w:pStyle w:val="Tekstfusnote"/>
        <w:jc w:val="both"/>
        <w:rPr>
          <w:rFonts w:ascii="Arial" w:eastAsiaTheme="minorEastAsia" w:hAnsi="Arial" w:cs="Arial"/>
          <w:color w:val="000000" w:themeColor="text1"/>
          <w:sz w:val="16"/>
          <w:szCs w:val="16"/>
          <w:lang w:val="en-GB"/>
        </w:rPr>
      </w:pPr>
      <w:r w:rsidRPr="008C7AAE">
        <w:rPr>
          <w:rStyle w:val="Referencafusnote"/>
          <w:rFonts w:ascii="Arial" w:hAnsi="Arial" w:cs="Arial"/>
          <w:sz w:val="16"/>
          <w:szCs w:val="16"/>
        </w:rPr>
        <w:footnoteRef/>
      </w:r>
      <w:r w:rsidRPr="008C7AAE">
        <w:rPr>
          <w:rFonts w:ascii="Arial" w:hAnsi="Arial" w:cs="Arial"/>
          <w:sz w:val="16"/>
          <w:szCs w:val="16"/>
        </w:rPr>
        <w:t xml:space="preserve"> </w:t>
      </w:r>
      <w:r w:rsidR="003F3885" w:rsidRPr="00B177A9">
        <w:rPr>
          <w:rFonts w:ascii="Arial" w:eastAsiaTheme="minorEastAsia" w:hAnsi="Arial" w:cs="Arial"/>
          <w:color w:val="000000" w:themeColor="text1"/>
          <w:sz w:val="16"/>
          <w:szCs w:val="16"/>
          <w:lang w:val="en-GB"/>
        </w:rPr>
        <w:t xml:space="preserve">Accommodation capacities of hospitality establishments </w:t>
      </w:r>
      <w:r w:rsidR="00B177A9" w:rsidRPr="00B177A9">
        <w:rPr>
          <w:rFonts w:ascii="Arial" w:eastAsiaTheme="minorEastAsia" w:hAnsi="Arial" w:cs="Arial"/>
          <w:color w:val="000000" w:themeColor="text1"/>
          <w:sz w:val="16"/>
          <w:szCs w:val="16"/>
          <w:lang w:val="en-GB"/>
        </w:rPr>
        <w:t>from the</w:t>
      </w:r>
      <w:r w:rsidRPr="00B177A9">
        <w:rPr>
          <w:rFonts w:ascii="Arial" w:eastAsiaTheme="minorEastAsia" w:hAnsi="Arial" w:cs="Arial"/>
          <w:color w:val="000000" w:themeColor="text1"/>
          <w:sz w:val="16"/>
          <w:szCs w:val="16"/>
          <w:lang w:val="en-GB"/>
        </w:rPr>
        <w:t xml:space="preserve"> </w:t>
      </w:r>
      <w:r w:rsidR="00896D3D">
        <w:rPr>
          <w:rFonts w:ascii="Arial" w:eastAsiaTheme="minorEastAsia" w:hAnsi="Arial" w:cs="Arial"/>
          <w:color w:val="000000" w:themeColor="text1"/>
          <w:sz w:val="16"/>
          <w:szCs w:val="16"/>
          <w:lang w:val="en-GB"/>
        </w:rPr>
        <w:t>“</w:t>
      </w:r>
      <w:r w:rsidR="00B177A9" w:rsidRPr="00B177A9">
        <w:rPr>
          <w:rFonts w:ascii="Arial" w:eastAsiaTheme="minorEastAsia" w:hAnsi="Arial" w:cs="Arial"/>
          <w:color w:val="000000" w:themeColor="text1"/>
          <w:sz w:val="16"/>
          <w:szCs w:val="16"/>
          <w:lang w:val="en-GB"/>
        </w:rPr>
        <w:t>Camping sites</w:t>
      </w:r>
      <w:r w:rsidRPr="00B177A9">
        <w:rPr>
          <w:rFonts w:ascii="Arial" w:eastAsiaTheme="minorEastAsia" w:hAnsi="Arial" w:cs="Arial"/>
          <w:color w:val="000000" w:themeColor="text1"/>
          <w:sz w:val="16"/>
          <w:szCs w:val="16"/>
          <w:lang w:val="en-GB"/>
        </w:rPr>
        <w:t xml:space="preserve">“ </w:t>
      </w:r>
      <w:r w:rsidR="00B177A9" w:rsidRPr="00B177A9">
        <w:rPr>
          <w:rFonts w:ascii="Arial" w:eastAsiaTheme="minorEastAsia" w:hAnsi="Arial" w:cs="Arial"/>
          <w:color w:val="000000" w:themeColor="text1"/>
          <w:sz w:val="16"/>
          <w:szCs w:val="16"/>
          <w:lang w:val="en-GB"/>
        </w:rPr>
        <w:t>group relate to the number of</w:t>
      </w:r>
      <w:r w:rsidRPr="00B177A9">
        <w:rPr>
          <w:rFonts w:ascii="Arial" w:eastAsiaTheme="minorEastAsia" w:hAnsi="Arial" w:cs="Arial"/>
          <w:color w:val="000000" w:themeColor="text1"/>
          <w:sz w:val="16"/>
          <w:szCs w:val="16"/>
          <w:lang w:val="en-GB"/>
        </w:rPr>
        <w:t xml:space="preserve"> </w:t>
      </w:r>
      <w:r w:rsidR="00E070ED">
        <w:rPr>
          <w:rFonts w:ascii="Arial" w:eastAsiaTheme="minorEastAsia" w:hAnsi="Arial" w:cs="Arial"/>
          <w:color w:val="000000" w:themeColor="text1"/>
          <w:sz w:val="16"/>
          <w:szCs w:val="16"/>
          <w:lang w:val="en-GB"/>
        </w:rPr>
        <w:t>persons</w:t>
      </w:r>
      <w:r w:rsidRPr="00B177A9">
        <w:rPr>
          <w:rFonts w:ascii="Arial" w:eastAsiaTheme="minorEastAsia" w:hAnsi="Arial" w:cs="Arial"/>
          <w:color w:val="000000" w:themeColor="text1"/>
          <w:sz w:val="16"/>
          <w:szCs w:val="16"/>
          <w:lang w:val="en-GB"/>
        </w:rPr>
        <w:t xml:space="preserve"> </w:t>
      </w:r>
      <w:r w:rsidR="003E4CA8">
        <w:rPr>
          <w:rFonts w:ascii="Arial" w:eastAsiaTheme="minorEastAsia" w:hAnsi="Arial" w:cs="Arial"/>
          <w:color w:val="000000" w:themeColor="text1"/>
          <w:sz w:val="16"/>
          <w:szCs w:val="16"/>
          <w:lang w:val="en-GB"/>
        </w:rPr>
        <w:t>in</w:t>
      </w:r>
      <w:r w:rsidRPr="00B177A9">
        <w:rPr>
          <w:rFonts w:ascii="Arial" w:eastAsiaTheme="minorEastAsia" w:hAnsi="Arial" w:cs="Arial"/>
          <w:color w:val="000000" w:themeColor="text1"/>
          <w:sz w:val="16"/>
          <w:szCs w:val="16"/>
          <w:lang w:val="en-GB"/>
        </w:rPr>
        <w:t xml:space="preserve"> </w:t>
      </w:r>
      <w:r w:rsidR="003E4CA8">
        <w:rPr>
          <w:rFonts w:ascii="Arial" w:eastAsiaTheme="minorEastAsia" w:hAnsi="Arial" w:cs="Arial"/>
          <w:color w:val="000000" w:themeColor="text1"/>
          <w:sz w:val="16"/>
          <w:szCs w:val="16"/>
          <w:lang w:val="en-GB"/>
        </w:rPr>
        <w:t>basic accommodation units</w:t>
      </w:r>
      <w:r w:rsidRPr="00B177A9">
        <w:rPr>
          <w:rFonts w:ascii="Arial" w:eastAsiaTheme="minorEastAsia" w:hAnsi="Arial" w:cs="Arial"/>
          <w:color w:val="000000" w:themeColor="text1"/>
          <w:sz w:val="16"/>
          <w:szCs w:val="16"/>
          <w:lang w:val="en-GB"/>
        </w:rPr>
        <w:t xml:space="preserve"> (3 </w:t>
      </w:r>
      <w:r w:rsidR="003E4CA8">
        <w:rPr>
          <w:rFonts w:ascii="Arial" w:eastAsiaTheme="minorEastAsia" w:hAnsi="Arial" w:cs="Arial"/>
          <w:color w:val="000000" w:themeColor="text1"/>
          <w:sz w:val="16"/>
          <w:szCs w:val="16"/>
          <w:lang w:val="en-GB"/>
        </w:rPr>
        <w:t xml:space="preserve">persons per camping </w:t>
      </w:r>
      <w:r w:rsidR="003115F7">
        <w:rPr>
          <w:rFonts w:ascii="Arial" w:eastAsiaTheme="minorEastAsia" w:hAnsi="Arial" w:cs="Arial"/>
          <w:color w:val="000000" w:themeColor="text1"/>
          <w:sz w:val="16"/>
          <w:szCs w:val="16"/>
          <w:lang w:val="en-GB"/>
        </w:rPr>
        <w:t>place</w:t>
      </w:r>
      <w:r w:rsidR="00CF44D7">
        <w:rPr>
          <w:rFonts w:ascii="Arial" w:eastAsiaTheme="minorEastAsia" w:hAnsi="Arial" w:cs="Arial"/>
          <w:color w:val="000000" w:themeColor="text1"/>
          <w:sz w:val="16"/>
          <w:szCs w:val="16"/>
          <w:lang w:val="en-GB"/>
        </w:rPr>
        <w:t xml:space="preserve"> or campsite pitch, respectively</w:t>
      </w:r>
      <w:r w:rsidRPr="00B177A9">
        <w:rPr>
          <w:rFonts w:ascii="Arial" w:eastAsiaTheme="minorEastAsia" w:hAnsi="Arial" w:cs="Arial"/>
          <w:color w:val="000000" w:themeColor="text1"/>
          <w:sz w:val="16"/>
          <w:szCs w:val="16"/>
          <w:lang w:val="en-GB"/>
        </w:rPr>
        <w:t xml:space="preserve">) </w:t>
      </w:r>
      <w:r w:rsidR="00CF44D7">
        <w:rPr>
          <w:rFonts w:ascii="Arial" w:eastAsiaTheme="minorEastAsia" w:hAnsi="Arial" w:cs="Arial"/>
          <w:color w:val="000000" w:themeColor="text1"/>
          <w:sz w:val="16"/>
          <w:szCs w:val="16"/>
          <w:lang w:val="en-GB"/>
        </w:rPr>
        <w:t xml:space="preserve">and beds in accommodation units in </w:t>
      </w:r>
      <w:r w:rsidRPr="00B177A9">
        <w:rPr>
          <w:rFonts w:ascii="Arial" w:eastAsiaTheme="minorEastAsia" w:hAnsi="Arial" w:cs="Arial"/>
          <w:color w:val="000000" w:themeColor="text1"/>
          <w:sz w:val="16"/>
          <w:szCs w:val="16"/>
          <w:lang w:val="en-GB"/>
        </w:rPr>
        <w:t xml:space="preserve"> </w:t>
      </w:r>
      <w:r w:rsidR="005651F9">
        <w:rPr>
          <w:rFonts w:ascii="Arial" w:eastAsiaTheme="minorEastAsia" w:hAnsi="Arial" w:cs="Arial"/>
          <w:color w:val="000000" w:themeColor="text1"/>
          <w:sz w:val="16"/>
          <w:szCs w:val="16"/>
          <w:lang w:val="en-GB"/>
        </w:rPr>
        <w:t>buildings</w:t>
      </w:r>
      <w:r w:rsidRPr="00B177A9">
        <w:rPr>
          <w:rFonts w:ascii="Arial" w:eastAsiaTheme="minorEastAsia" w:hAnsi="Arial" w:cs="Arial"/>
          <w:color w:val="000000" w:themeColor="text1"/>
          <w:sz w:val="16"/>
          <w:szCs w:val="16"/>
          <w:lang w:val="en-GB"/>
        </w:rPr>
        <w:t>.</w:t>
      </w:r>
    </w:p>
    <w:p w14:paraId="5CB2CDFC" w14:textId="77777777" w:rsidR="00FA4CA7" w:rsidRPr="00B177A9" w:rsidRDefault="00FA4CA7" w:rsidP="00FA4CA7">
      <w:pPr>
        <w:pStyle w:val="Tekstfusnote"/>
        <w:rPr>
          <w:lang w:val="en-GB"/>
        </w:rPr>
      </w:pPr>
    </w:p>
  </w:footnote>
  <w:footnote w:id="6">
    <w:p w14:paraId="401BB852" w14:textId="11F5627E" w:rsidR="003F4714" w:rsidRPr="00BE5057" w:rsidRDefault="003F4714" w:rsidP="003F4714">
      <w:pPr>
        <w:pStyle w:val="Tekstfusnote"/>
        <w:jc w:val="both"/>
        <w:rPr>
          <w:rFonts w:ascii="Arial" w:hAnsi="Arial" w:cs="Arial"/>
          <w:sz w:val="16"/>
          <w:szCs w:val="16"/>
          <w:lang w:val="en-GB"/>
        </w:rPr>
      </w:pPr>
      <w:r w:rsidRPr="00EE3B71">
        <w:rPr>
          <w:rStyle w:val="Referencafusnote"/>
          <w:rFonts w:ascii="Arial" w:hAnsi="Arial" w:cs="Arial"/>
          <w:sz w:val="16"/>
          <w:szCs w:val="16"/>
        </w:rPr>
        <w:footnoteRef/>
      </w:r>
      <w:r w:rsidRPr="00EE3B71">
        <w:rPr>
          <w:rFonts w:ascii="Arial" w:hAnsi="Arial" w:cs="Arial"/>
          <w:sz w:val="16"/>
          <w:szCs w:val="16"/>
        </w:rPr>
        <w:t xml:space="preserve"> </w:t>
      </w:r>
      <w:r w:rsidR="00E950D9" w:rsidRPr="00BE5057">
        <w:rPr>
          <w:rFonts w:ascii="Arial" w:eastAsia="Arial" w:hAnsi="Arial" w:cs="Arial"/>
          <w:color w:val="000000" w:themeColor="text1"/>
          <w:sz w:val="16"/>
          <w:szCs w:val="16"/>
          <w:lang w:val="en-GB"/>
        </w:rPr>
        <w:t>Start of works means the start of construction works related to an investment or the first legally binding</w:t>
      </w:r>
      <w:r w:rsidRPr="00BE5057">
        <w:rPr>
          <w:rFonts w:ascii="Arial" w:eastAsia="Arial" w:hAnsi="Arial" w:cs="Arial"/>
          <w:color w:val="000000" w:themeColor="text1"/>
          <w:sz w:val="16"/>
          <w:szCs w:val="16"/>
          <w:lang w:val="en-GB"/>
        </w:rPr>
        <w:t xml:space="preserve"> </w:t>
      </w:r>
      <w:r w:rsidR="0029095B" w:rsidRPr="00BE5057">
        <w:rPr>
          <w:rFonts w:ascii="Arial" w:eastAsia="Arial" w:hAnsi="Arial" w:cs="Arial"/>
          <w:color w:val="000000" w:themeColor="text1"/>
          <w:sz w:val="16"/>
          <w:szCs w:val="16"/>
          <w:lang w:val="en-GB"/>
        </w:rPr>
        <w:t>obligation for ordering</w:t>
      </w:r>
      <w:r w:rsidRPr="00BE5057">
        <w:rPr>
          <w:rFonts w:ascii="Arial" w:eastAsia="Arial" w:hAnsi="Arial" w:cs="Arial"/>
          <w:color w:val="000000" w:themeColor="text1"/>
          <w:sz w:val="16"/>
          <w:szCs w:val="16"/>
          <w:lang w:val="en-GB"/>
        </w:rPr>
        <w:t xml:space="preserve"> </w:t>
      </w:r>
      <w:r w:rsidR="0029095B" w:rsidRPr="00BE5057">
        <w:rPr>
          <w:rFonts w:ascii="Arial" w:eastAsia="Arial" w:hAnsi="Arial" w:cs="Arial"/>
          <w:color w:val="000000" w:themeColor="text1"/>
          <w:sz w:val="16"/>
          <w:szCs w:val="16"/>
          <w:lang w:val="en-GB"/>
        </w:rPr>
        <w:t xml:space="preserve">of equipment or any other obligation </w:t>
      </w:r>
      <w:r w:rsidR="00C44BB1" w:rsidRPr="00BE5057">
        <w:rPr>
          <w:rFonts w:ascii="Arial" w:eastAsia="Arial" w:hAnsi="Arial" w:cs="Arial"/>
          <w:color w:val="000000" w:themeColor="text1"/>
          <w:sz w:val="16"/>
          <w:szCs w:val="16"/>
          <w:lang w:val="en-GB"/>
        </w:rPr>
        <w:t>that makes such investment irrevocable</w:t>
      </w:r>
      <w:r w:rsidRPr="00BE5057">
        <w:rPr>
          <w:rFonts w:ascii="Arial" w:eastAsia="Arial" w:hAnsi="Arial" w:cs="Arial"/>
          <w:color w:val="000000" w:themeColor="text1"/>
          <w:sz w:val="16"/>
          <w:szCs w:val="16"/>
          <w:lang w:val="en-GB"/>
        </w:rPr>
        <w:t xml:space="preserve">, </w:t>
      </w:r>
      <w:r w:rsidR="009C71BA" w:rsidRPr="00BE5057">
        <w:rPr>
          <w:rFonts w:ascii="Arial" w:eastAsia="Arial" w:hAnsi="Arial" w:cs="Arial"/>
          <w:color w:val="000000" w:themeColor="text1"/>
          <w:sz w:val="16"/>
          <w:szCs w:val="16"/>
          <w:lang w:val="en-GB"/>
        </w:rPr>
        <w:t>whichever occurs first</w:t>
      </w:r>
      <w:r w:rsidRPr="00BE5057">
        <w:rPr>
          <w:rFonts w:ascii="Arial" w:eastAsia="Arial" w:hAnsi="Arial" w:cs="Arial"/>
          <w:color w:val="000000" w:themeColor="text1"/>
          <w:sz w:val="16"/>
          <w:szCs w:val="16"/>
          <w:lang w:val="en-GB"/>
        </w:rPr>
        <w:t xml:space="preserve">. </w:t>
      </w:r>
      <w:r w:rsidR="002018B0" w:rsidRPr="00BE5057">
        <w:rPr>
          <w:rFonts w:ascii="Arial" w:eastAsia="Arial" w:hAnsi="Arial" w:cs="Arial"/>
          <w:color w:val="000000" w:themeColor="text1"/>
          <w:sz w:val="16"/>
          <w:szCs w:val="16"/>
          <w:lang w:val="en-GB"/>
        </w:rPr>
        <w:t>The purchase of land and preparation works</w:t>
      </w:r>
      <w:r w:rsidRPr="00BE5057">
        <w:rPr>
          <w:rFonts w:ascii="Arial" w:eastAsia="Arial" w:hAnsi="Arial" w:cs="Arial"/>
          <w:color w:val="000000" w:themeColor="text1"/>
          <w:sz w:val="16"/>
          <w:szCs w:val="16"/>
          <w:lang w:val="en-GB"/>
        </w:rPr>
        <w:t xml:space="preserve">, </w:t>
      </w:r>
      <w:r w:rsidR="002018B0" w:rsidRPr="00BE5057">
        <w:rPr>
          <w:rFonts w:ascii="Arial" w:eastAsia="Arial" w:hAnsi="Arial" w:cs="Arial"/>
          <w:color w:val="000000" w:themeColor="text1"/>
          <w:sz w:val="16"/>
          <w:szCs w:val="16"/>
          <w:lang w:val="en-GB"/>
        </w:rPr>
        <w:t>for example</w:t>
      </w:r>
      <w:r w:rsidR="00896D3D">
        <w:rPr>
          <w:rFonts w:ascii="Arial" w:eastAsia="Arial" w:hAnsi="Arial" w:cs="Arial"/>
          <w:color w:val="000000" w:themeColor="text1"/>
          <w:sz w:val="16"/>
          <w:szCs w:val="16"/>
          <w:lang w:val="en-GB"/>
        </w:rPr>
        <w:t>,</w:t>
      </w:r>
      <w:r w:rsidR="002018B0" w:rsidRPr="00BE5057">
        <w:rPr>
          <w:rFonts w:ascii="Arial" w:eastAsia="Arial" w:hAnsi="Arial" w:cs="Arial"/>
          <w:color w:val="000000" w:themeColor="text1"/>
          <w:sz w:val="16"/>
          <w:szCs w:val="16"/>
          <w:lang w:val="en-GB"/>
        </w:rPr>
        <w:t xml:space="preserve"> </w:t>
      </w:r>
      <w:r w:rsidR="00420667" w:rsidRPr="00BE5057">
        <w:rPr>
          <w:rFonts w:ascii="Arial" w:eastAsia="Arial" w:hAnsi="Arial" w:cs="Arial"/>
          <w:color w:val="000000" w:themeColor="text1"/>
          <w:sz w:val="16"/>
          <w:szCs w:val="16"/>
          <w:lang w:val="en-GB"/>
        </w:rPr>
        <w:t>obtaining of licences and carrying</w:t>
      </w:r>
      <w:r w:rsidR="00C95BBD" w:rsidRPr="00BE5057">
        <w:rPr>
          <w:rFonts w:ascii="Arial" w:eastAsia="Arial" w:hAnsi="Arial" w:cs="Arial"/>
          <w:color w:val="000000" w:themeColor="text1"/>
          <w:sz w:val="16"/>
          <w:szCs w:val="16"/>
          <w:lang w:val="en-GB"/>
        </w:rPr>
        <w:t xml:space="preserve"> out </w:t>
      </w:r>
      <w:r w:rsidR="00A26519" w:rsidRPr="00BE5057">
        <w:rPr>
          <w:rFonts w:ascii="Arial" w:eastAsia="Arial" w:hAnsi="Arial" w:cs="Arial"/>
          <w:color w:val="000000" w:themeColor="text1"/>
          <w:sz w:val="16"/>
          <w:szCs w:val="16"/>
          <w:lang w:val="en-GB"/>
        </w:rPr>
        <w:t xml:space="preserve">the </w:t>
      </w:r>
      <w:r w:rsidR="007B69FC" w:rsidRPr="00BE5057">
        <w:rPr>
          <w:rFonts w:ascii="Arial" w:eastAsia="Arial" w:hAnsi="Arial" w:cs="Arial"/>
          <w:color w:val="000000" w:themeColor="text1"/>
          <w:sz w:val="16"/>
          <w:szCs w:val="16"/>
          <w:lang w:val="en-GB"/>
        </w:rPr>
        <w:t>feasibility study</w:t>
      </w:r>
      <w:r w:rsidRPr="00BE5057">
        <w:rPr>
          <w:rFonts w:ascii="Arial" w:eastAsia="Arial" w:hAnsi="Arial" w:cs="Arial"/>
          <w:color w:val="000000" w:themeColor="text1"/>
          <w:sz w:val="16"/>
          <w:szCs w:val="16"/>
          <w:lang w:val="en-GB"/>
        </w:rPr>
        <w:t xml:space="preserve">, </w:t>
      </w:r>
      <w:r w:rsidR="00BE5057" w:rsidRPr="00BE5057">
        <w:rPr>
          <w:rFonts w:ascii="Arial" w:eastAsia="Arial" w:hAnsi="Arial" w:cs="Arial"/>
          <w:color w:val="000000" w:themeColor="text1"/>
          <w:sz w:val="16"/>
          <w:szCs w:val="16"/>
          <w:lang w:val="en-GB"/>
        </w:rPr>
        <w:t>is not considered the start of works</w:t>
      </w:r>
      <w:r w:rsidRPr="00BE5057">
        <w:rPr>
          <w:rFonts w:ascii="Arial" w:eastAsia="Arial" w:hAnsi="Arial" w:cs="Arial"/>
          <w:color w:val="000000" w:themeColor="text1"/>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3AC6" w14:textId="47972408" w:rsidR="009C43A4" w:rsidRPr="004C35F4" w:rsidRDefault="008D0BB2" w:rsidP="008D0BB2">
    <w:pPr>
      <w:pStyle w:val="Zaglavlje"/>
      <w:rPr>
        <w:rFonts w:ascii="Arial" w:hAnsi="Arial" w:cs="Arial"/>
        <w:sz w:val="20"/>
        <w:szCs w:val="20"/>
        <w:lang w:val="en-GB"/>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CA7989" w:rsidRPr="004C35F4">
      <w:rPr>
        <w:rFonts w:ascii="Arial" w:hAnsi="Arial" w:cs="Arial"/>
        <w:sz w:val="20"/>
        <w:szCs w:val="20"/>
        <w:lang w:val="en-GB"/>
      </w:rPr>
      <w:t xml:space="preserve">Loan Programme </w:t>
    </w:r>
    <w:r w:rsidR="008A373F" w:rsidRPr="004C35F4">
      <w:rPr>
        <w:rFonts w:ascii="Arial" w:hAnsi="Arial" w:cs="Arial"/>
        <w:sz w:val="20"/>
        <w:szCs w:val="20"/>
        <w:lang w:val="en-GB"/>
      </w:rPr>
      <w:t>–</w:t>
    </w:r>
    <w:r w:rsidR="00BE2571" w:rsidRPr="004C35F4">
      <w:rPr>
        <w:rFonts w:ascii="Arial" w:hAnsi="Arial" w:cs="Arial"/>
        <w:sz w:val="20"/>
        <w:szCs w:val="20"/>
        <w:lang w:val="en-GB"/>
      </w:rPr>
      <w:t xml:space="preserve"> </w:t>
    </w:r>
    <w:r w:rsidR="008A373F" w:rsidRPr="004C35F4">
      <w:rPr>
        <w:rFonts w:ascii="Arial" w:hAnsi="Arial" w:cs="Arial"/>
        <w:sz w:val="20"/>
        <w:szCs w:val="20"/>
        <w:lang w:val="en-GB"/>
      </w:rPr>
      <w:t>Sustainable Tourism Loans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06A"/>
    <w:multiLevelType w:val="hybridMultilevel"/>
    <w:tmpl w:val="CDD85B2A"/>
    <w:lvl w:ilvl="0" w:tplc="688AD6BE">
      <w:start w:val="1"/>
      <w:numFmt w:val="lowerRoman"/>
      <w:lvlText w:val="%1."/>
      <w:lvlJc w:val="left"/>
      <w:pPr>
        <w:ind w:left="2159" w:hanging="720"/>
      </w:pPr>
      <w:rPr>
        <w:rFonts w:hint="default"/>
      </w:rPr>
    </w:lvl>
    <w:lvl w:ilvl="1" w:tplc="041A0019" w:tentative="1">
      <w:start w:val="1"/>
      <w:numFmt w:val="lowerLetter"/>
      <w:lvlText w:val="%2."/>
      <w:lvlJc w:val="left"/>
      <w:pPr>
        <w:ind w:left="2519" w:hanging="360"/>
      </w:pPr>
    </w:lvl>
    <w:lvl w:ilvl="2" w:tplc="041A001B" w:tentative="1">
      <w:start w:val="1"/>
      <w:numFmt w:val="lowerRoman"/>
      <w:lvlText w:val="%3."/>
      <w:lvlJc w:val="right"/>
      <w:pPr>
        <w:ind w:left="3239" w:hanging="180"/>
      </w:pPr>
    </w:lvl>
    <w:lvl w:ilvl="3" w:tplc="041A000F" w:tentative="1">
      <w:start w:val="1"/>
      <w:numFmt w:val="decimal"/>
      <w:lvlText w:val="%4."/>
      <w:lvlJc w:val="left"/>
      <w:pPr>
        <w:ind w:left="3959" w:hanging="360"/>
      </w:pPr>
    </w:lvl>
    <w:lvl w:ilvl="4" w:tplc="041A0019" w:tentative="1">
      <w:start w:val="1"/>
      <w:numFmt w:val="lowerLetter"/>
      <w:lvlText w:val="%5."/>
      <w:lvlJc w:val="left"/>
      <w:pPr>
        <w:ind w:left="4679" w:hanging="360"/>
      </w:pPr>
    </w:lvl>
    <w:lvl w:ilvl="5" w:tplc="041A001B" w:tentative="1">
      <w:start w:val="1"/>
      <w:numFmt w:val="lowerRoman"/>
      <w:lvlText w:val="%6."/>
      <w:lvlJc w:val="right"/>
      <w:pPr>
        <w:ind w:left="5399" w:hanging="180"/>
      </w:pPr>
    </w:lvl>
    <w:lvl w:ilvl="6" w:tplc="041A000F" w:tentative="1">
      <w:start w:val="1"/>
      <w:numFmt w:val="decimal"/>
      <w:lvlText w:val="%7."/>
      <w:lvlJc w:val="left"/>
      <w:pPr>
        <w:ind w:left="6119" w:hanging="360"/>
      </w:pPr>
    </w:lvl>
    <w:lvl w:ilvl="7" w:tplc="041A0019" w:tentative="1">
      <w:start w:val="1"/>
      <w:numFmt w:val="lowerLetter"/>
      <w:lvlText w:val="%8."/>
      <w:lvlJc w:val="left"/>
      <w:pPr>
        <w:ind w:left="6839" w:hanging="360"/>
      </w:pPr>
    </w:lvl>
    <w:lvl w:ilvl="8" w:tplc="041A001B" w:tentative="1">
      <w:start w:val="1"/>
      <w:numFmt w:val="lowerRoman"/>
      <w:lvlText w:val="%9."/>
      <w:lvlJc w:val="right"/>
      <w:pPr>
        <w:ind w:left="7559" w:hanging="180"/>
      </w:pPr>
    </w:lvl>
  </w:abstractNum>
  <w:abstractNum w:abstractNumId="1" w15:restartNumberingAfterBreak="0">
    <w:nsid w:val="064370A1"/>
    <w:multiLevelType w:val="multilevel"/>
    <w:tmpl w:val="5296C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B700E"/>
    <w:multiLevelType w:val="hybridMultilevel"/>
    <w:tmpl w:val="0940165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936DF4"/>
    <w:multiLevelType w:val="hybridMultilevel"/>
    <w:tmpl w:val="F7669F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CD65A1"/>
    <w:multiLevelType w:val="hybridMultilevel"/>
    <w:tmpl w:val="7A96369A"/>
    <w:lvl w:ilvl="0" w:tplc="CF6E6AD2">
      <w:start w:val="1"/>
      <w:numFmt w:val="decimal"/>
      <w:lvlText w:val="%1."/>
      <w:lvlJc w:val="left"/>
      <w:pPr>
        <w:ind w:left="720" w:hanging="360"/>
      </w:pPr>
      <w:rPr>
        <w:rFonts w:eastAsiaTheme="maj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713CBE"/>
    <w:multiLevelType w:val="hybridMultilevel"/>
    <w:tmpl w:val="2646A63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2D0A61"/>
    <w:multiLevelType w:val="hybridMultilevel"/>
    <w:tmpl w:val="8028FD5E"/>
    <w:lvl w:ilvl="0" w:tplc="10BE8E96">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335879"/>
    <w:multiLevelType w:val="multilevel"/>
    <w:tmpl w:val="E37C8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E44B5"/>
    <w:multiLevelType w:val="multilevel"/>
    <w:tmpl w:val="99ACFFC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90D0D"/>
    <w:multiLevelType w:val="hybridMultilevel"/>
    <w:tmpl w:val="8514E82C"/>
    <w:lvl w:ilvl="0" w:tplc="9CDC4AD8">
      <w:start w:val="1"/>
      <w:numFmt w:val="decimal"/>
      <w:lvlText w:val="%1."/>
      <w:lvlJc w:val="left"/>
      <w:pPr>
        <w:ind w:left="690" w:hanging="360"/>
      </w:pPr>
      <w:rPr>
        <w:rFonts w:ascii="Arial" w:eastAsiaTheme="majorEastAsia" w:hAnsi="Arial" w:cs="Arial"/>
      </w:rPr>
    </w:lvl>
    <w:lvl w:ilvl="1" w:tplc="041A0003" w:tentative="1">
      <w:start w:val="1"/>
      <w:numFmt w:val="bullet"/>
      <w:lvlText w:val="o"/>
      <w:lvlJc w:val="left"/>
      <w:pPr>
        <w:ind w:left="1410" w:hanging="360"/>
      </w:pPr>
      <w:rPr>
        <w:rFonts w:ascii="Courier New" w:hAnsi="Courier New" w:cs="Courier New" w:hint="default"/>
      </w:rPr>
    </w:lvl>
    <w:lvl w:ilvl="2" w:tplc="041A0005" w:tentative="1">
      <w:start w:val="1"/>
      <w:numFmt w:val="bullet"/>
      <w:lvlText w:val=""/>
      <w:lvlJc w:val="left"/>
      <w:pPr>
        <w:ind w:left="2130" w:hanging="360"/>
      </w:pPr>
      <w:rPr>
        <w:rFonts w:ascii="Wingdings" w:hAnsi="Wingdings" w:hint="default"/>
      </w:rPr>
    </w:lvl>
    <w:lvl w:ilvl="3" w:tplc="041A0001" w:tentative="1">
      <w:start w:val="1"/>
      <w:numFmt w:val="bullet"/>
      <w:lvlText w:val=""/>
      <w:lvlJc w:val="left"/>
      <w:pPr>
        <w:ind w:left="2850" w:hanging="360"/>
      </w:pPr>
      <w:rPr>
        <w:rFonts w:ascii="Symbol" w:hAnsi="Symbol" w:hint="default"/>
      </w:rPr>
    </w:lvl>
    <w:lvl w:ilvl="4" w:tplc="041A0003" w:tentative="1">
      <w:start w:val="1"/>
      <w:numFmt w:val="bullet"/>
      <w:lvlText w:val="o"/>
      <w:lvlJc w:val="left"/>
      <w:pPr>
        <w:ind w:left="3570" w:hanging="360"/>
      </w:pPr>
      <w:rPr>
        <w:rFonts w:ascii="Courier New" w:hAnsi="Courier New" w:cs="Courier New" w:hint="default"/>
      </w:rPr>
    </w:lvl>
    <w:lvl w:ilvl="5" w:tplc="041A0005" w:tentative="1">
      <w:start w:val="1"/>
      <w:numFmt w:val="bullet"/>
      <w:lvlText w:val=""/>
      <w:lvlJc w:val="left"/>
      <w:pPr>
        <w:ind w:left="4290" w:hanging="360"/>
      </w:pPr>
      <w:rPr>
        <w:rFonts w:ascii="Wingdings" w:hAnsi="Wingdings" w:hint="default"/>
      </w:rPr>
    </w:lvl>
    <w:lvl w:ilvl="6" w:tplc="041A0001" w:tentative="1">
      <w:start w:val="1"/>
      <w:numFmt w:val="bullet"/>
      <w:lvlText w:val=""/>
      <w:lvlJc w:val="left"/>
      <w:pPr>
        <w:ind w:left="5010" w:hanging="360"/>
      </w:pPr>
      <w:rPr>
        <w:rFonts w:ascii="Symbol" w:hAnsi="Symbol" w:hint="default"/>
      </w:rPr>
    </w:lvl>
    <w:lvl w:ilvl="7" w:tplc="041A0003" w:tentative="1">
      <w:start w:val="1"/>
      <w:numFmt w:val="bullet"/>
      <w:lvlText w:val="o"/>
      <w:lvlJc w:val="left"/>
      <w:pPr>
        <w:ind w:left="5730" w:hanging="360"/>
      </w:pPr>
      <w:rPr>
        <w:rFonts w:ascii="Courier New" w:hAnsi="Courier New" w:cs="Courier New" w:hint="default"/>
      </w:rPr>
    </w:lvl>
    <w:lvl w:ilvl="8" w:tplc="041A0005" w:tentative="1">
      <w:start w:val="1"/>
      <w:numFmt w:val="bullet"/>
      <w:lvlText w:val=""/>
      <w:lvlJc w:val="left"/>
      <w:pPr>
        <w:ind w:left="6450" w:hanging="360"/>
      </w:pPr>
      <w:rPr>
        <w:rFonts w:ascii="Wingdings" w:hAnsi="Wingdings" w:hint="default"/>
      </w:rPr>
    </w:lvl>
  </w:abstractNum>
  <w:abstractNum w:abstractNumId="10" w15:restartNumberingAfterBreak="0">
    <w:nsid w:val="22BE117C"/>
    <w:multiLevelType w:val="hybridMultilevel"/>
    <w:tmpl w:val="0FA8DB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A1798A"/>
    <w:multiLevelType w:val="hybridMultilevel"/>
    <w:tmpl w:val="262EF5D4"/>
    <w:lvl w:ilvl="0" w:tplc="90B6FD1E">
      <w:start w:val="1"/>
      <w:numFmt w:val="decimal"/>
      <w:lvlText w:val="%1."/>
      <w:lvlJc w:val="left"/>
      <w:pPr>
        <w:ind w:left="720" w:hanging="360"/>
      </w:pPr>
      <w:rPr>
        <w:rFonts w:eastAsiaTheme="majorEastAsia"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A02EE8"/>
    <w:multiLevelType w:val="hybridMultilevel"/>
    <w:tmpl w:val="916446E6"/>
    <w:lvl w:ilvl="0" w:tplc="B0647122">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3" w15:restartNumberingAfterBreak="0">
    <w:nsid w:val="26DD1F09"/>
    <w:multiLevelType w:val="multilevel"/>
    <w:tmpl w:val="874CFB0A"/>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eastAsiaTheme="majorEastAsia" w:hint="default"/>
        <w:b/>
        <w:color w:val="00000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6E278DC"/>
    <w:multiLevelType w:val="hybridMultilevel"/>
    <w:tmpl w:val="31D04B4A"/>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A8F7AE3"/>
    <w:multiLevelType w:val="hybridMultilevel"/>
    <w:tmpl w:val="C73861E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F14DC3"/>
    <w:multiLevelType w:val="hybridMultilevel"/>
    <w:tmpl w:val="01AEE0F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03B078C"/>
    <w:multiLevelType w:val="hybridMultilevel"/>
    <w:tmpl w:val="6062191E"/>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9872200"/>
    <w:multiLevelType w:val="multilevel"/>
    <w:tmpl w:val="99ACFFC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56295"/>
    <w:multiLevelType w:val="hybridMultilevel"/>
    <w:tmpl w:val="E458AEEC"/>
    <w:lvl w:ilvl="0" w:tplc="4DAC1004">
      <w:start w:val="1"/>
      <w:numFmt w:val="lowerLetter"/>
      <w:lvlText w:val="%1)"/>
      <w:lvlJc w:val="left"/>
      <w:pPr>
        <w:ind w:left="720" w:hanging="360"/>
      </w:pPr>
      <w:rPr>
        <w:rFonts w:eastAsiaTheme="majorEastAsia"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7A1571"/>
    <w:multiLevelType w:val="hybridMultilevel"/>
    <w:tmpl w:val="92426D8C"/>
    <w:lvl w:ilvl="0" w:tplc="041A001B">
      <w:start w:val="1"/>
      <w:numFmt w:val="lowerRoman"/>
      <w:lvlText w:val="%1."/>
      <w:lvlJc w:val="right"/>
      <w:pPr>
        <w:ind w:left="1599" w:hanging="360"/>
      </w:pPr>
    </w:lvl>
    <w:lvl w:ilvl="1" w:tplc="041A0019" w:tentative="1">
      <w:start w:val="1"/>
      <w:numFmt w:val="lowerLetter"/>
      <w:lvlText w:val="%2."/>
      <w:lvlJc w:val="left"/>
      <w:pPr>
        <w:ind w:left="2319" w:hanging="360"/>
      </w:pPr>
    </w:lvl>
    <w:lvl w:ilvl="2" w:tplc="041A001B" w:tentative="1">
      <w:start w:val="1"/>
      <w:numFmt w:val="lowerRoman"/>
      <w:lvlText w:val="%3."/>
      <w:lvlJc w:val="right"/>
      <w:pPr>
        <w:ind w:left="3039" w:hanging="180"/>
      </w:pPr>
    </w:lvl>
    <w:lvl w:ilvl="3" w:tplc="041A000F" w:tentative="1">
      <w:start w:val="1"/>
      <w:numFmt w:val="decimal"/>
      <w:lvlText w:val="%4."/>
      <w:lvlJc w:val="left"/>
      <w:pPr>
        <w:ind w:left="3759" w:hanging="360"/>
      </w:pPr>
    </w:lvl>
    <w:lvl w:ilvl="4" w:tplc="041A0019" w:tentative="1">
      <w:start w:val="1"/>
      <w:numFmt w:val="lowerLetter"/>
      <w:lvlText w:val="%5."/>
      <w:lvlJc w:val="left"/>
      <w:pPr>
        <w:ind w:left="4479" w:hanging="360"/>
      </w:pPr>
    </w:lvl>
    <w:lvl w:ilvl="5" w:tplc="041A001B" w:tentative="1">
      <w:start w:val="1"/>
      <w:numFmt w:val="lowerRoman"/>
      <w:lvlText w:val="%6."/>
      <w:lvlJc w:val="right"/>
      <w:pPr>
        <w:ind w:left="5199" w:hanging="180"/>
      </w:pPr>
    </w:lvl>
    <w:lvl w:ilvl="6" w:tplc="041A000F" w:tentative="1">
      <w:start w:val="1"/>
      <w:numFmt w:val="decimal"/>
      <w:lvlText w:val="%7."/>
      <w:lvlJc w:val="left"/>
      <w:pPr>
        <w:ind w:left="5919" w:hanging="360"/>
      </w:pPr>
    </w:lvl>
    <w:lvl w:ilvl="7" w:tplc="041A0019" w:tentative="1">
      <w:start w:val="1"/>
      <w:numFmt w:val="lowerLetter"/>
      <w:lvlText w:val="%8."/>
      <w:lvlJc w:val="left"/>
      <w:pPr>
        <w:ind w:left="6639" w:hanging="360"/>
      </w:pPr>
    </w:lvl>
    <w:lvl w:ilvl="8" w:tplc="041A001B" w:tentative="1">
      <w:start w:val="1"/>
      <w:numFmt w:val="lowerRoman"/>
      <w:lvlText w:val="%9."/>
      <w:lvlJc w:val="right"/>
      <w:pPr>
        <w:ind w:left="7359" w:hanging="180"/>
      </w:pPr>
    </w:lvl>
  </w:abstractNum>
  <w:abstractNum w:abstractNumId="21" w15:restartNumberingAfterBreak="0">
    <w:nsid w:val="3F12448C"/>
    <w:multiLevelType w:val="hybridMultilevel"/>
    <w:tmpl w:val="DFA8DCCA"/>
    <w:lvl w:ilvl="0" w:tplc="041A001B">
      <w:start w:val="1"/>
      <w:numFmt w:val="lowerRoman"/>
      <w:lvlText w:val="%1."/>
      <w:lvlJc w:val="right"/>
      <w:pPr>
        <w:ind w:left="1599" w:hanging="360"/>
      </w:pPr>
    </w:lvl>
    <w:lvl w:ilvl="1" w:tplc="041A0019" w:tentative="1">
      <w:start w:val="1"/>
      <w:numFmt w:val="lowerLetter"/>
      <w:lvlText w:val="%2."/>
      <w:lvlJc w:val="left"/>
      <w:pPr>
        <w:ind w:left="2319" w:hanging="360"/>
      </w:pPr>
    </w:lvl>
    <w:lvl w:ilvl="2" w:tplc="041A001B" w:tentative="1">
      <w:start w:val="1"/>
      <w:numFmt w:val="lowerRoman"/>
      <w:lvlText w:val="%3."/>
      <w:lvlJc w:val="right"/>
      <w:pPr>
        <w:ind w:left="3039" w:hanging="180"/>
      </w:pPr>
    </w:lvl>
    <w:lvl w:ilvl="3" w:tplc="041A000F" w:tentative="1">
      <w:start w:val="1"/>
      <w:numFmt w:val="decimal"/>
      <w:lvlText w:val="%4."/>
      <w:lvlJc w:val="left"/>
      <w:pPr>
        <w:ind w:left="3759" w:hanging="360"/>
      </w:pPr>
    </w:lvl>
    <w:lvl w:ilvl="4" w:tplc="041A0019" w:tentative="1">
      <w:start w:val="1"/>
      <w:numFmt w:val="lowerLetter"/>
      <w:lvlText w:val="%5."/>
      <w:lvlJc w:val="left"/>
      <w:pPr>
        <w:ind w:left="4479" w:hanging="360"/>
      </w:pPr>
    </w:lvl>
    <w:lvl w:ilvl="5" w:tplc="041A001B" w:tentative="1">
      <w:start w:val="1"/>
      <w:numFmt w:val="lowerRoman"/>
      <w:lvlText w:val="%6."/>
      <w:lvlJc w:val="right"/>
      <w:pPr>
        <w:ind w:left="5199" w:hanging="180"/>
      </w:pPr>
    </w:lvl>
    <w:lvl w:ilvl="6" w:tplc="041A000F" w:tentative="1">
      <w:start w:val="1"/>
      <w:numFmt w:val="decimal"/>
      <w:lvlText w:val="%7."/>
      <w:lvlJc w:val="left"/>
      <w:pPr>
        <w:ind w:left="5919" w:hanging="360"/>
      </w:pPr>
    </w:lvl>
    <w:lvl w:ilvl="7" w:tplc="041A0019" w:tentative="1">
      <w:start w:val="1"/>
      <w:numFmt w:val="lowerLetter"/>
      <w:lvlText w:val="%8."/>
      <w:lvlJc w:val="left"/>
      <w:pPr>
        <w:ind w:left="6639" w:hanging="360"/>
      </w:pPr>
    </w:lvl>
    <w:lvl w:ilvl="8" w:tplc="041A001B" w:tentative="1">
      <w:start w:val="1"/>
      <w:numFmt w:val="lowerRoman"/>
      <w:lvlText w:val="%9."/>
      <w:lvlJc w:val="right"/>
      <w:pPr>
        <w:ind w:left="7359" w:hanging="180"/>
      </w:pPr>
    </w:lvl>
  </w:abstractNum>
  <w:abstractNum w:abstractNumId="22" w15:restartNumberingAfterBreak="0">
    <w:nsid w:val="48325A72"/>
    <w:multiLevelType w:val="hybridMultilevel"/>
    <w:tmpl w:val="8EA241DE"/>
    <w:lvl w:ilvl="0" w:tplc="4AEEDAC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24A267F"/>
    <w:multiLevelType w:val="hybridMultilevel"/>
    <w:tmpl w:val="3A808E6A"/>
    <w:lvl w:ilvl="0" w:tplc="DFBCE6CC">
      <w:start w:val="3"/>
      <w:numFmt w:val="bullet"/>
      <w:lvlText w:val="–"/>
      <w:lvlJc w:val="left"/>
      <w:pPr>
        <w:ind w:left="360" w:hanging="360"/>
      </w:pPr>
      <w:rPr>
        <w:rFonts w:ascii="Gill Sans MT" w:eastAsia="Gill Sans MT" w:hAnsi="Gill Sans MT" w:cs="Gill Sans M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57F226F4"/>
    <w:multiLevelType w:val="hybridMultilevel"/>
    <w:tmpl w:val="1194DF36"/>
    <w:lvl w:ilvl="0" w:tplc="A37C5750">
      <w:numFmt w:val="bullet"/>
      <w:lvlText w:val="-"/>
      <w:lvlJc w:val="left"/>
      <w:pPr>
        <w:ind w:left="720" w:hanging="360"/>
      </w:pPr>
      <w:rPr>
        <w:rFonts w:ascii="Arial" w:eastAsiaTheme="maj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94336CE"/>
    <w:multiLevelType w:val="multilevel"/>
    <w:tmpl w:val="7F0EB5B2"/>
    <w:lvl w:ilvl="0">
      <w:start w:val="1"/>
      <w:numFmt w:val="bullet"/>
      <w:lvlText w:val=""/>
      <w:lvlJc w:val="left"/>
      <w:pPr>
        <w:ind w:left="72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BEB1A1D"/>
    <w:multiLevelType w:val="hybridMultilevel"/>
    <w:tmpl w:val="E2E407A4"/>
    <w:lvl w:ilvl="0" w:tplc="041A001B">
      <w:start w:val="1"/>
      <w:numFmt w:val="lowerRoman"/>
      <w:lvlText w:val="%1."/>
      <w:lvlJc w:val="right"/>
      <w:pPr>
        <w:ind w:left="1599" w:hanging="360"/>
      </w:pPr>
    </w:lvl>
    <w:lvl w:ilvl="1" w:tplc="041A0019" w:tentative="1">
      <w:start w:val="1"/>
      <w:numFmt w:val="lowerLetter"/>
      <w:lvlText w:val="%2."/>
      <w:lvlJc w:val="left"/>
      <w:pPr>
        <w:ind w:left="2319" w:hanging="360"/>
      </w:pPr>
    </w:lvl>
    <w:lvl w:ilvl="2" w:tplc="041A001B" w:tentative="1">
      <w:start w:val="1"/>
      <w:numFmt w:val="lowerRoman"/>
      <w:lvlText w:val="%3."/>
      <w:lvlJc w:val="right"/>
      <w:pPr>
        <w:ind w:left="3039" w:hanging="180"/>
      </w:pPr>
    </w:lvl>
    <w:lvl w:ilvl="3" w:tplc="041A000F" w:tentative="1">
      <w:start w:val="1"/>
      <w:numFmt w:val="decimal"/>
      <w:lvlText w:val="%4."/>
      <w:lvlJc w:val="left"/>
      <w:pPr>
        <w:ind w:left="3759" w:hanging="360"/>
      </w:pPr>
    </w:lvl>
    <w:lvl w:ilvl="4" w:tplc="041A0019" w:tentative="1">
      <w:start w:val="1"/>
      <w:numFmt w:val="lowerLetter"/>
      <w:lvlText w:val="%5."/>
      <w:lvlJc w:val="left"/>
      <w:pPr>
        <w:ind w:left="4479" w:hanging="360"/>
      </w:pPr>
    </w:lvl>
    <w:lvl w:ilvl="5" w:tplc="041A001B" w:tentative="1">
      <w:start w:val="1"/>
      <w:numFmt w:val="lowerRoman"/>
      <w:lvlText w:val="%6."/>
      <w:lvlJc w:val="right"/>
      <w:pPr>
        <w:ind w:left="5199" w:hanging="180"/>
      </w:pPr>
    </w:lvl>
    <w:lvl w:ilvl="6" w:tplc="041A000F" w:tentative="1">
      <w:start w:val="1"/>
      <w:numFmt w:val="decimal"/>
      <w:lvlText w:val="%7."/>
      <w:lvlJc w:val="left"/>
      <w:pPr>
        <w:ind w:left="5919" w:hanging="360"/>
      </w:pPr>
    </w:lvl>
    <w:lvl w:ilvl="7" w:tplc="041A0019" w:tentative="1">
      <w:start w:val="1"/>
      <w:numFmt w:val="lowerLetter"/>
      <w:lvlText w:val="%8."/>
      <w:lvlJc w:val="left"/>
      <w:pPr>
        <w:ind w:left="6639" w:hanging="360"/>
      </w:pPr>
    </w:lvl>
    <w:lvl w:ilvl="8" w:tplc="041A001B" w:tentative="1">
      <w:start w:val="1"/>
      <w:numFmt w:val="lowerRoman"/>
      <w:lvlText w:val="%9."/>
      <w:lvlJc w:val="right"/>
      <w:pPr>
        <w:ind w:left="7359" w:hanging="180"/>
      </w:pPr>
    </w:lvl>
  </w:abstractNum>
  <w:abstractNum w:abstractNumId="27" w15:restartNumberingAfterBreak="0">
    <w:nsid w:val="5E6A63A5"/>
    <w:multiLevelType w:val="hybridMultilevel"/>
    <w:tmpl w:val="81C26798"/>
    <w:lvl w:ilvl="0" w:tplc="041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0044778"/>
    <w:multiLevelType w:val="hybridMultilevel"/>
    <w:tmpl w:val="4A76F43C"/>
    <w:lvl w:ilvl="0" w:tplc="A0DCBB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430E82"/>
    <w:multiLevelType w:val="hybridMultilevel"/>
    <w:tmpl w:val="4590135E"/>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142F13"/>
    <w:multiLevelType w:val="multilevel"/>
    <w:tmpl w:val="7584B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85A57"/>
    <w:multiLevelType w:val="hybridMultilevel"/>
    <w:tmpl w:val="510C8F60"/>
    <w:lvl w:ilvl="0" w:tplc="004257EC">
      <w:start w:val="1"/>
      <w:numFmt w:val="decimal"/>
      <w:lvlText w:val="%1."/>
      <w:lvlJc w:val="left"/>
      <w:pPr>
        <w:ind w:left="720" w:hanging="360"/>
      </w:pPr>
      <w:rPr>
        <w:rFonts w:ascii="Arial" w:eastAsiaTheme="majorEastAsia"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DD3440"/>
    <w:multiLevelType w:val="hybridMultilevel"/>
    <w:tmpl w:val="92B84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A986A5D"/>
    <w:multiLevelType w:val="hybridMultilevel"/>
    <w:tmpl w:val="D73A6A34"/>
    <w:lvl w:ilvl="0" w:tplc="BDFC1A26">
      <w:start w:val="1"/>
      <w:numFmt w:val="bullet"/>
      <w:lvlText w:val="-"/>
      <w:lvlJc w:val="left"/>
      <w:pPr>
        <w:ind w:left="720" w:hanging="360"/>
      </w:pPr>
      <w:rPr>
        <w:rFonts w:ascii="Aptos" w:hAnsi="Aptos" w:hint="default"/>
      </w:rPr>
    </w:lvl>
    <w:lvl w:ilvl="1" w:tplc="7B32BC9A">
      <w:start w:val="1"/>
      <w:numFmt w:val="bullet"/>
      <w:lvlText w:val="o"/>
      <w:lvlJc w:val="left"/>
      <w:pPr>
        <w:ind w:left="1440" w:hanging="360"/>
      </w:pPr>
      <w:rPr>
        <w:rFonts w:ascii="Courier New" w:hAnsi="Courier New" w:hint="default"/>
      </w:rPr>
    </w:lvl>
    <w:lvl w:ilvl="2" w:tplc="0076FEDC">
      <w:start w:val="1"/>
      <w:numFmt w:val="bullet"/>
      <w:lvlText w:val=""/>
      <w:lvlJc w:val="left"/>
      <w:pPr>
        <w:ind w:left="2160" w:hanging="360"/>
      </w:pPr>
      <w:rPr>
        <w:rFonts w:ascii="Wingdings" w:hAnsi="Wingdings" w:hint="default"/>
      </w:rPr>
    </w:lvl>
    <w:lvl w:ilvl="3" w:tplc="D3C6E020">
      <w:start w:val="1"/>
      <w:numFmt w:val="bullet"/>
      <w:lvlText w:val=""/>
      <w:lvlJc w:val="left"/>
      <w:pPr>
        <w:ind w:left="2880" w:hanging="360"/>
      </w:pPr>
      <w:rPr>
        <w:rFonts w:ascii="Symbol" w:hAnsi="Symbol" w:hint="default"/>
      </w:rPr>
    </w:lvl>
    <w:lvl w:ilvl="4" w:tplc="E12E528C">
      <w:start w:val="1"/>
      <w:numFmt w:val="bullet"/>
      <w:lvlText w:val="o"/>
      <w:lvlJc w:val="left"/>
      <w:pPr>
        <w:ind w:left="3600" w:hanging="360"/>
      </w:pPr>
      <w:rPr>
        <w:rFonts w:ascii="Courier New" w:hAnsi="Courier New" w:hint="default"/>
      </w:rPr>
    </w:lvl>
    <w:lvl w:ilvl="5" w:tplc="3B5810C8">
      <w:start w:val="1"/>
      <w:numFmt w:val="bullet"/>
      <w:lvlText w:val=""/>
      <w:lvlJc w:val="left"/>
      <w:pPr>
        <w:ind w:left="4320" w:hanging="360"/>
      </w:pPr>
      <w:rPr>
        <w:rFonts w:ascii="Wingdings" w:hAnsi="Wingdings" w:hint="default"/>
      </w:rPr>
    </w:lvl>
    <w:lvl w:ilvl="6" w:tplc="3F5E55C6">
      <w:start w:val="1"/>
      <w:numFmt w:val="bullet"/>
      <w:lvlText w:val=""/>
      <w:lvlJc w:val="left"/>
      <w:pPr>
        <w:ind w:left="5040" w:hanging="360"/>
      </w:pPr>
      <w:rPr>
        <w:rFonts w:ascii="Symbol" w:hAnsi="Symbol" w:hint="default"/>
      </w:rPr>
    </w:lvl>
    <w:lvl w:ilvl="7" w:tplc="10E47266">
      <w:start w:val="1"/>
      <w:numFmt w:val="bullet"/>
      <w:lvlText w:val="o"/>
      <w:lvlJc w:val="left"/>
      <w:pPr>
        <w:ind w:left="5760" w:hanging="360"/>
      </w:pPr>
      <w:rPr>
        <w:rFonts w:ascii="Courier New" w:hAnsi="Courier New" w:hint="default"/>
      </w:rPr>
    </w:lvl>
    <w:lvl w:ilvl="8" w:tplc="2BF4AA5A">
      <w:start w:val="1"/>
      <w:numFmt w:val="bullet"/>
      <w:lvlText w:val=""/>
      <w:lvlJc w:val="left"/>
      <w:pPr>
        <w:ind w:left="6480" w:hanging="360"/>
      </w:pPr>
      <w:rPr>
        <w:rFonts w:ascii="Wingdings" w:hAnsi="Wingdings" w:hint="default"/>
      </w:rPr>
    </w:lvl>
  </w:abstractNum>
  <w:abstractNum w:abstractNumId="34" w15:restartNumberingAfterBreak="0">
    <w:nsid w:val="6AFB71CA"/>
    <w:multiLevelType w:val="hybridMultilevel"/>
    <w:tmpl w:val="EB26A1CE"/>
    <w:lvl w:ilvl="0" w:tplc="041A0001">
      <w:start w:val="1"/>
      <w:numFmt w:val="bullet"/>
      <w:lvlText w:val=""/>
      <w:lvlJc w:val="left"/>
      <w:pPr>
        <w:ind w:left="1410" w:hanging="360"/>
      </w:pPr>
      <w:rPr>
        <w:rFonts w:ascii="Symbol" w:hAnsi="Symbol" w:hint="default"/>
      </w:rPr>
    </w:lvl>
    <w:lvl w:ilvl="1" w:tplc="041A0003" w:tentative="1">
      <w:start w:val="1"/>
      <w:numFmt w:val="bullet"/>
      <w:lvlText w:val="o"/>
      <w:lvlJc w:val="left"/>
      <w:pPr>
        <w:ind w:left="2130" w:hanging="360"/>
      </w:pPr>
      <w:rPr>
        <w:rFonts w:ascii="Courier New" w:hAnsi="Courier New" w:cs="Courier New" w:hint="default"/>
      </w:rPr>
    </w:lvl>
    <w:lvl w:ilvl="2" w:tplc="041A0005" w:tentative="1">
      <w:start w:val="1"/>
      <w:numFmt w:val="bullet"/>
      <w:lvlText w:val=""/>
      <w:lvlJc w:val="left"/>
      <w:pPr>
        <w:ind w:left="2850" w:hanging="360"/>
      </w:pPr>
      <w:rPr>
        <w:rFonts w:ascii="Wingdings" w:hAnsi="Wingdings" w:hint="default"/>
      </w:rPr>
    </w:lvl>
    <w:lvl w:ilvl="3" w:tplc="041A0001" w:tentative="1">
      <w:start w:val="1"/>
      <w:numFmt w:val="bullet"/>
      <w:lvlText w:val=""/>
      <w:lvlJc w:val="left"/>
      <w:pPr>
        <w:ind w:left="3570" w:hanging="360"/>
      </w:pPr>
      <w:rPr>
        <w:rFonts w:ascii="Symbol" w:hAnsi="Symbol" w:hint="default"/>
      </w:rPr>
    </w:lvl>
    <w:lvl w:ilvl="4" w:tplc="041A0003" w:tentative="1">
      <w:start w:val="1"/>
      <w:numFmt w:val="bullet"/>
      <w:lvlText w:val="o"/>
      <w:lvlJc w:val="left"/>
      <w:pPr>
        <w:ind w:left="4290" w:hanging="360"/>
      </w:pPr>
      <w:rPr>
        <w:rFonts w:ascii="Courier New" w:hAnsi="Courier New" w:cs="Courier New" w:hint="default"/>
      </w:rPr>
    </w:lvl>
    <w:lvl w:ilvl="5" w:tplc="041A0005" w:tentative="1">
      <w:start w:val="1"/>
      <w:numFmt w:val="bullet"/>
      <w:lvlText w:val=""/>
      <w:lvlJc w:val="left"/>
      <w:pPr>
        <w:ind w:left="5010" w:hanging="360"/>
      </w:pPr>
      <w:rPr>
        <w:rFonts w:ascii="Wingdings" w:hAnsi="Wingdings" w:hint="default"/>
      </w:rPr>
    </w:lvl>
    <w:lvl w:ilvl="6" w:tplc="041A0001" w:tentative="1">
      <w:start w:val="1"/>
      <w:numFmt w:val="bullet"/>
      <w:lvlText w:val=""/>
      <w:lvlJc w:val="left"/>
      <w:pPr>
        <w:ind w:left="5730" w:hanging="360"/>
      </w:pPr>
      <w:rPr>
        <w:rFonts w:ascii="Symbol" w:hAnsi="Symbol" w:hint="default"/>
      </w:rPr>
    </w:lvl>
    <w:lvl w:ilvl="7" w:tplc="041A0003" w:tentative="1">
      <w:start w:val="1"/>
      <w:numFmt w:val="bullet"/>
      <w:lvlText w:val="o"/>
      <w:lvlJc w:val="left"/>
      <w:pPr>
        <w:ind w:left="6450" w:hanging="360"/>
      </w:pPr>
      <w:rPr>
        <w:rFonts w:ascii="Courier New" w:hAnsi="Courier New" w:cs="Courier New" w:hint="default"/>
      </w:rPr>
    </w:lvl>
    <w:lvl w:ilvl="8" w:tplc="041A0005" w:tentative="1">
      <w:start w:val="1"/>
      <w:numFmt w:val="bullet"/>
      <w:lvlText w:val=""/>
      <w:lvlJc w:val="left"/>
      <w:pPr>
        <w:ind w:left="7170" w:hanging="360"/>
      </w:pPr>
      <w:rPr>
        <w:rFonts w:ascii="Wingdings" w:hAnsi="Wingdings" w:hint="default"/>
      </w:rPr>
    </w:lvl>
  </w:abstractNum>
  <w:abstractNum w:abstractNumId="35" w15:restartNumberingAfterBreak="0">
    <w:nsid w:val="705B3520"/>
    <w:multiLevelType w:val="hybridMultilevel"/>
    <w:tmpl w:val="31247730"/>
    <w:lvl w:ilvl="0" w:tplc="B0DC8BAA">
      <w:start w:val="1"/>
      <w:numFmt w:val="decimal"/>
      <w:lvlText w:val="(%1)"/>
      <w:lvlJc w:val="left"/>
      <w:pPr>
        <w:ind w:left="879" w:hanging="603"/>
      </w:pPr>
      <w:rPr>
        <w:rFonts w:ascii="Arial" w:eastAsia="Arial" w:hAnsi="Arial" w:cs="Arial" w:hint="default"/>
        <w:b w:val="0"/>
        <w:bCs w:val="0"/>
        <w:i w:val="0"/>
        <w:iCs w:val="0"/>
        <w:w w:val="99"/>
        <w:sz w:val="20"/>
        <w:szCs w:val="20"/>
      </w:rPr>
    </w:lvl>
    <w:lvl w:ilvl="1" w:tplc="A4945590">
      <w:start w:val="1"/>
      <w:numFmt w:val="decimal"/>
      <w:lvlText w:val="%2."/>
      <w:lvlJc w:val="left"/>
      <w:pPr>
        <w:ind w:left="836" w:hanging="360"/>
      </w:pPr>
      <w:rPr>
        <w:rFonts w:ascii="Arial" w:eastAsia="Arial" w:hAnsi="Arial" w:cs="Arial" w:hint="default"/>
        <w:b/>
        <w:bCs/>
        <w:i w:val="0"/>
        <w:iCs w:val="0"/>
        <w:spacing w:val="-1"/>
        <w:w w:val="99"/>
        <w:sz w:val="20"/>
        <w:szCs w:val="20"/>
      </w:rPr>
    </w:lvl>
    <w:lvl w:ilvl="2" w:tplc="08109A4C">
      <w:numFmt w:val="bullet"/>
      <w:lvlText w:val="•"/>
      <w:lvlJc w:val="left"/>
      <w:pPr>
        <w:ind w:left="1816" w:hanging="360"/>
      </w:pPr>
      <w:rPr>
        <w:rFonts w:hint="default"/>
      </w:rPr>
    </w:lvl>
    <w:lvl w:ilvl="3" w:tplc="EDF6B6A2">
      <w:numFmt w:val="bullet"/>
      <w:lvlText w:val="•"/>
      <w:lvlJc w:val="left"/>
      <w:pPr>
        <w:ind w:left="2752" w:hanging="360"/>
      </w:pPr>
      <w:rPr>
        <w:rFonts w:hint="default"/>
      </w:rPr>
    </w:lvl>
    <w:lvl w:ilvl="4" w:tplc="DF0C5098">
      <w:numFmt w:val="bullet"/>
      <w:lvlText w:val="•"/>
      <w:lvlJc w:val="left"/>
      <w:pPr>
        <w:ind w:left="3688" w:hanging="360"/>
      </w:pPr>
      <w:rPr>
        <w:rFonts w:hint="default"/>
      </w:rPr>
    </w:lvl>
    <w:lvl w:ilvl="5" w:tplc="65587F80">
      <w:numFmt w:val="bullet"/>
      <w:lvlText w:val="•"/>
      <w:lvlJc w:val="left"/>
      <w:pPr>
        <w:ind w:left="4625" w:hanging="360"/>
      </w:pPr>
      <w:rPr>
        <w:rFonts w:hint="default"/>
      </w:rPr>
    </w:lvl>
    <w:lvl w:ilvl="6" w:tplc="D25830BA">
      <w:numFmt w:val="bullet"/>
      <w:lvlText w:val="•"/>
      <w:lvlJc w:val="left"/>
      <w:pPr>
        <w:ind w:left="5561" w:hanging="360"/>
      </w:pPr>
      <w:rPr>
        <w:rFonts w:hint="default"/>
      </w:rPr>
    </w:lvl>
    <w:lvl w:ilvl="7" w:tplc="A22AB40A">
      <w:numFmt w:val="bullet"/>
      <w:lvlText w:val="•"/>
      <w:lvlJc w:val="left"/>
      <w:pPr>
        <w:ind w:left="6497" w:hanging="360"/>
      </w:pPr>
      <w:rPr>
        <w:rFonts w:hint="default"/>
      </w:rPr>
    </w:lvl>
    <w:lvl w:ilvl="8" w:tplc="5FC6A942">
      <w:numFmt w:val="bullet"/>
      <w:lvlText w:val="•"/>
      <w:lvlJc w:val="left"/>
      <w:pPr>
        <w:ind w:left="7433" w:hanging="360"/>
      </w:pPr>
      <w:rPr>
        <w:rFonts w:hint="default"/>
      </w:rPr>
    </w:lvl>
  </w:abstractNum>
  <w:abstractNum w:abstractNumId="36" w15:restartNumberingAfterBreak="0">
    <w:nsid w:val="72531A5A"/>
    <w:multiLevelType w:val="hybridMultilevel"/>
    <w:tmpl w:val="634E28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C143E8"/>
    <w:multiLevelType w:val="hybridMultilevel"/>
    <w:tmpl w:val="CB8E8AA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DE63603"/>
    <w:multiLevelType w:val="hybridMultilevel"/>
    <w:tmpl w:val="8F6E1B3E"/>
    <w:lvl w:ilvl="0" w:tplc="B0647122">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num w:numId="1" w16cid:durableId="328870211">
    <w:abstractNumId w:val="33"/>
  </w:num>
  <w:num w:numId="2" w16cid:durableId="955790419">
    <w:abstractNumId w:val="25"/>
  </w:num>
  <w:num w:numId="3" w16cid:durableId="39332502">
    <w:abstractNumId w:val="8"/>
  </w:num>
  <w:num w:numId="4" w16cid:durableId="1897159923">
    <w:abstractNumId w:val="13"/>
  </w:num>
  <w:num w:numId="5" w16cid:durableId="1523322522">
    <w:abstractNumId w:val="3"/>
  </w:num>
  <w:num w:numId="6" w16cid:durableId="71245818">
    <w:abstractNumId w:val="23"/>
  </w:num>
  <w:num w:numId="7" w16cid:durableId="526528727">
    <w:abstractNumId w:val="31"/>
  </w:num>
  <w:num w:numId="8" w16cid:durableId="678898200">
    <w:abstractNumId w:val="2"/>
  </w:num>
  <w:num w:numId="9" w16cid:durableId="1763642542">
    <w:abstractNumId w:val="14"/>
  </w:num>
  <w:num w:numId="10" w16cid:durableId="430780231">
    <w:abstractNumId w:val="36"/>
  </w:num>
  <w:num w:numId="11" w16cid:durableId="1835220433">
    <w:abstractNumId w:val="16"/>
  </w:num>
  <w:num w:numId="12" w16cid:durableId="618344694">
    <w:abstractNumId w:val="5"/>
  </w:num>
  <w:num w:numId="13" w16cid:durableId="278417280">
    <w:abstractNumId w:val="18"/>
  </w:num>
  <w:num w:numId="14" w16cid:durableId="1797747803">
    <w:abstractNumId w:val="10"/>
  </w:num>
  <w:num w:numId="15" w16cid:durableId="1175729723">
    <w:abstractNumId w:val="17"/>
  </w:num>
  <w:num w:numId="16" w16cid:durableId="1492910847">
    <w:abstractNumId w:val="9"/>
  </w:num>
  <w:num w:numId="17" w16cid:durableId="377584373">
    <w:abstractNumId w:val="34"/>
  </w:num>
  <w:num w:numId="18" w16cid:durableId="45302135">
    <w:abstractNumId w:val="19"/>
  </w:num>
  <w:num w:numId="19" w16cid:durableId="32996476">
    <w:abstractNumId w:val="37"/>
  </w:num>
  <w:num w:numId="20" w16cid:durableId="1483232546">
    <w:abstractNumId w:val="11"/>
  </w:num>
  <w:num w:numId="21" w16cid:durableId="1605066712">
    <w:abstractNumId w:val="22"/>
  </w:num>
  <w:num w:numId="22" w16cid:durableId="382758441">
    <w:abstractNumId w:val="15"/>
  </w:num>
  <w:num w:numId="23" w16cid:durableId="1551459830">
    <w:abstractNumId w:val="32"/>
  </w:num>
  <w:num w:numId="24" w16cid:durableId="579872828">
    <w:abstractNumId w:val="28"/>
  </w:num>
  <w:num w:numId="25" w16cid:durableId="470950509">
    <w:abstractNumId w:val="35"/>
  </w:num>
  <w:num w:numId="26" w16cid:durableId="1758280503">
    <w:abstractNumId w:val="0"/>
  </w:num>
  <w:num w:numId="27" w16cid:durableId="1516774028">
    <w:abstractNumId w:val="12"/>
  </w:num>
  <w:num w:numId="28" w16cid:durableId="157575942">
    <w:abstractNumId w:val="38"/>
  </w:num>
  <w:num w:numId="29" w16cid:durableId="134029552">
    <w:abstractNumId w:val="21"/>
  </w:num>
  <w:num w:numId="30" w16cid:durableId="1595092331">
    <w:abstractNumId w:val="26"/>
  </w:num>
  <w:num w:numId="31" w16cid:durableId="471674672">
    <w:abstractNumId w:val="20"/>
  </w:num>
  <w:num w:numId="32" w16cid:durableId="377826629">
    <w:abstractNumId w:val="4"/>
  </w:num>
  <w:num w:numId="33" w16cid:durableId="1197812318">
    <w:abstractNumId w:val="29"/>
  </w:num>
  <w:num w:numId="34" w16cid:durableId="184489025">
    <w:abstractNumId w:val="27"/>
  </w:num>
  <w:num w:numId="35" w16cid:durableId="775946729">
    <w:abstractNumId w:val="7"/>
  </w:num>
  <w:num w:numId="36" w16cid:durableId="45759721">
    <w:abstractNumId w:val="1"/>
  </w:num>
  <w:num w:numId="37" w16cid:durableId="808743235">
    <w:abstractNumId w:val="30"/>
  </w:num>
  <w:num w:numId="38" w16cid:durableId="371879544">
    <w:abstractNumId w:val="24"/>
  </w:num>
  <w:num w:numId="39" w16cid:durableId="1027103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A4"/>
    <w:rsid w:val="000022AB"/>
    <w:rsid w:val="00012AF7"/>
    <w:rsid w:val="00017A06"/>
    <w:rsid w:val="00020FBA"/>
    <w:rsid w:val="000256FF"/>
    <w:rsid w:val="000277C1"/>
    <w:rsid w:val="00032B4E"/>
    <w:rsid w:val="00032BCA"/>
    <w:rsid w:val="0003626E"/>
    <w:rsid w:val="000414E1"/>
    <w:rsid w:val="00042D08"/>
    <w:rsid w:val="00046DDC"/>
    <w:rsid w:val="00050A32"/>
    <w:rsid w:val="000545B5"/>
    <w:rsid w:val="000553EA"/>
    <w:rsid w:val="00056FC4"/>
    <w:rsid w:val="0005756C"/>
    <w:rsid w:val="000672AB"/>
    <w:rsid w:val="0006731B"/>
    <w:rsid w:val="00073DDE"/>
    <w:rsid w:val="0007446D"/>
    <w:rsid w:val="00080163"/>
    <w:rsid w:val="000854A0"/>
    <w:rsid w:val="00087C7B"/>
    <w:rsid w:val="0009160F"/>
    <w:rsid w:val="00095B15"/>
    <w:rsid w:val="000A3484"/>
    <w:rsid w:val="000A3DD8"/>
    <w:rsid w:val="000A44FD"/>
    <w:rsid w:val="000B32D8"/>
    <w:rsid w:val="000B4546"/>
    <w:rsid w:val="000B4D5A"/>
    <w:rsid w:val="000B640F"/>
    <w:rsid w:val="000B7B55"/>
    <w:rsid w:val="000C5923"/>
    <w:rsid w:val="000C623B"/>
    <w:rsid w:val="000D1C26"/>
    <w:rsid w:val="000D1EAC"/>
    <w:rsid w:val="000D4E61"/>
    <w:rsid w:val="000E25E3"/>
    <w:rsid w:val="000E5C8C"/>
    <w:rsid w:val="000F33D5"/>
    <w:rsid w:val="000F406F"/>
    <w:rsid w:val="000F7B20"/>
    <w:rsid w:val="0010109A"/>
    <w:rsid w:val="00102863"/>
    <w:rsid w:val="0010761F"/>
    <w:rsid w:val="00110501"/>
    <w:rsid w:val="001119AD"/>
    <w:rsid w:val="00112407"/>
    <w:rsid w:val="00120A4E"/>
    <w:rsid w:val="001248B3"/>
    <w:rsid w:val="001260EA"/>
    <w:rsid w:val="00127C97"/>
    <w:rsid w:val="00132405"/>
    <w:rsid w:val="001349FF"/>
    <w:rsid w:val="00137EE4"/>
    <w:rsid w:val="00144A3B"/>
    <w:rsid w:val="001474FB"/>
    <w:rsid w:val="00153CD9"/>
    <w:rsid w:val="001602A0"/>
    <w:rsid w:val="001612B9"/>
    <w:rsid w:val="00161A93"/>
    <w:rsid w:val="00165628"/>
    <w:rsid w:val="00170B65"/>
    <w:rsid w:val="0018027B"/>
    <w:rsid w:val="00181DF3"/>
    <w:rsid w:val="0018378C"/>
    <w:rsid w:val="00184EDC"/>
    <w:rsid w:val="00185778"/>
    <w:rsid w:val="00190A18"/>
    <w:rsid w:val="00192BD3"/>
    <w:rsid w:val="0019329D"/>
    <w:rsid w:val="00195FD8"/>
    <w:rsid w:val="0019778A"/>
    <w:rsid w:val="001A0189"/>
    <w:rsid w:val="001A1B57"/>
    <w:rsid w:val="001A49FB"/>
    <w:rsid w:val="001A4DAB"/>
    <w:rsid w:val="001A599B"/>
    <w:rsid w:val="001A7046"/>
    <w:rsid w:val="001A7DCD"/>
    <w:rsid w:val="001B3FE9"/>
    <w:rsid w:val="001B41D1"/>
    <w:rsid w:val="001C123B"/>
    <w:rsid w:val="001C3B04"/>
    <w:rsid w:val="001C61BF"/>
    <w:rsid w:val="001D30E3"/>
    <w:rsid w:val="001D3CDE"/>
    <w:rsid w:val="001E4346"/>
    <w:rsid w:val="001E6138"/>
    <w:rsid w:val="001E6454"/>
    <w:rsid w:val="001F0009"/>
    <w:rsid w:val="001F26CA"/>
    <w:rsid w:val="001F40E7"/>
    <w:rsid w:val="001F7872"/>
    <w:rsid w:val="002018B0"/>
    <w:rsid w:val="00201D99"/>
    <w:rsid w:val="00204BDC"/>
    <w:rsid w:val="00205082"/>
    <w:rsid w:val="002053C5"/>
    <w:rsid w:val="00213501"/>
    <w:rsid w:val="00213EA6"/>
    <w:rsid w:val="00216E67"/>
    <w:rsid w:val="00217E05"/>
    <w:rsid w:val="002250AB"/>
    <w:rsid w:val="0023081C"/>
    <w:rsid w:val="00231605"/>
    <w:rsid w:val="00236DFF"/>
    <w:rsid w:val="00244ECA"/>
    <w:rsid w:val="002473D7"/>
    <w:rsid w:val="0025121C"/>
    <w:rsid w:val="002665FF"/>
    <w:rsid w:val="00266997"/>
    <w:rsid w:val="002713E9"/>
    <w:rsid w:val="00271BFB"/>
    <w:rsid w:val="00275F4D"/>
    <w:rsid w:val="00276F67"/>
    <w:rsid w:val="00280F55"/>
    <w:rsid w:val="00281274"/>
    <w:rsid w:val="00281CC2"/>
    <w:rsid w:val="00283E69"/>
    <w:rsid w:val="002876A4"/>
    <w:rsid w:val="0029095B"/>
    <w:rsid w:val="0029161B"/>
    <w:rsid w:val="00291894"/>
    <w:rsid w:val="002924C6"/>
    <w:rsid w:val="00292940"/>
    <w:rsid w:val="002939C8"/>
    <w:rsid w:val="00296405"/>
    <w:rsid w:val="00297094"/>
    <w:rsid w:val="002A0F71"/>
    <w:rsid w:val="002A33A5"/>
    <w:rsid w:val="002A5C82"/>
    <w:rsid w:val="002A5E9E"/>
    <w:rsid w:val="002B2B1D"/>
    <w:rsid w:val="002B7D76"/>
    <w:rsid w:val="002B7E21"/>
    <w:rsid w:val="002C7AE1"/>
    <w:rsid w:val="002D13F5"/>
    <w:rsid w:val="002D50BA"/>
    <w:rsid w:val="002E2BCA"/>
    <w:rsid w:val="002E2C9E"/>
    <w:rsid w:val="002E2EA6"/>
    <w:rsid w:val="002E3967"/>
    <w:rsid w:val="002E3A50"/>
    <w:rsid w:val="002E4C27"/>
    <w:rsid w:val="002F10F8"/>
    <w:rsid w:val="002F4E52"/>
    <w:rsid w:val="002F50E2"/>
    <w:rsid w:val="002F61A0"/>
    <w:rsid w:val="00301F28"/>
    <w:rsid w:val="00302FEE"/>
    <w:rsid w:val="0030544E"/>
    <w:rsid w:val="00307457"/>
    <w:rsid w:val="003115F7"/>
    <w:rsid w:val="00312754"/>
    <w:rsid w:val="00323304"/>
    <w:rsid w:val="00331A7C"/>
    <w:rsid w:val="00332EC5"/>
    <w:rsid w:val="00337F41"/>
    <w:rsid w:val="00340B12"/>
    <w:rsid w:val="003429F9"/>
    <w:rsid w:val="00354FB6"/>
    <w:rsid w:val="00356510"/>
    <w:rsid w:val="00356D47"/>
    <w:rsid w:val="00357C16"/>
    <w:rsid w:val="003616ED"/>
    <w:rsid w:val="00362F60"/>
    <w:rsid w:val="00364DF0"/>
    <w:rsid w:val="00365B95"/>
    <w:rsid w:val="0036797F"/>
    <w:rsid w:val="00367FAD"/>
    <w:rsid w:val="003813F8"/>
    <w:rsid w:val="003822AC"/>
    <w:rsid w:val="003877AE"/>
    <w:rsid w:val="003A36F8"/>
    <w:rsid w:val="003A6BFB"/>
    <w:rsid w:val="003A79AF"/>
    <w:rsid w:val="003B2107"/>
    <w:rsid w:val="003B4871"/>
    <w:rsid w:val="003B760D"/>
    <w:rsid w:val="003C140A"/>
    <w:rsid w:val="003C575E"/>
    <w:rsid w:val="003C77E9"/>
    <w:rsid w:val="003D043B"/>
    <w:rsid w:val="003D2143"/>
    <w:rsid w:val="003D6930"/>
    <w:rsid w:val="003E2B9B"/>
    <w:rsid w:val="003E4CA8"/>
    <w:rsid w:val="003F0D31"/>
    <w:rsid w:val="003F16E4"/>
    <w:rsid w:val="003F3885"/>
    <w:rsid w:val="003F44C0"/>
    <w:rsid w:val="003F4714"/>
    <w:rsid w:val="003F70C2"/>
    <w:rsid w:val="003F7801"/>
    <w:rsid w:val="00400489"/>
    <w:rsid w:val="00401173"/>
    <w:rsid w:val="00401DF4"/>
    <w:rsid w:val="004027E3"/>
    <w:rsid w:val="004075B4"/>
    <w:rsid w:val="00407730"/>
    <w:rsid w:val="004156D3"/>
    <w:rsid w:val="00420667"/>
    <w:rsid w:val="00420B5B"/>
    <w:rsid w:val="00426D20"/>
    <w:rsid w:val="00426EE2"/>
    <w:rsid w:val="00430310"/>
    <w:rsid w:val="00434123"/>
    <w:rsid w:val="00435665"/>
    <w:rsid w:val="0044196B"/>
    <w:rsid w:val="00445185"/>
    <w:rsid w:val="00445381"/>
    <w:rsid w:val="00445CAA"/>
    <w:rsid w:val="00462C29"/>
    <w:rsid w:val="00462ECF"/>
    <w:rsid w:val="004649D7"/>
    <w:rsid w:val="00464F95"/>
    <w:rsid w:val="00466DA0"/>
    <w:rsid w:val="004703F8"/>
    <w:rsid w:val="00474DC6"/>
    <w:rsid w:val="00476000"/>
    <w:rsid w:val="004776EB"/>
    <w:rsid w:val="004808A6"/>
    <w:rsid w:val="0048146A"/>
    <w:rsid w:val="00481C72"/>
    <w:rsid w:val="00482894"/>
    <w:rsid w:val="00482C3C"/>
    <w:rsid w:val="00484BE5"/>
    <w:rsid w:val="004861D4"/>
    <w:rsid w:val="00490AEB"/>
    <w:rsid w:val="00493F12"/>
    <w:rsid w:val="004A0B34"/>
    <w:rsid w:val="004A72DB"/>
    <w:rsid w:val="004B087E"/>
    <w:rsid w:val="004B158A"/>
    <w:rsid w:val="004B247E"/>
    <w:rsid w:val="004B4ABC"/>
    <w:rsid w:val="004C08BF"/>
    <w:rsid w:val="004C29CF"/>
    <w:rsid w:val="004C35F4"/>
    <w:rsid w:val="004D0F61"/>
    <w:rsid w:val="004D479D"/>
    <w:rsid w:val="004E0160"/>
    <w:rsid w:val="004E2719"/>
    <w:rsid w:val="004E6B26"/>
    <w:rsid w:val="004F43A7"/>
    <w:rsid w:val="004F758F"/>
    <w:rsid w:val="004F798F"/>
    <w:rsid w:val="0050180D"/>
    <w:rsid w:val="00507BD9"/>
    <w:rsid w:val="00512689"/>
    <w:rsid w:val="0051568F"/>
    <w:rsid w:val="00516538"/>
    <w:rsid w:val="005179BA"/>
    <w:rsid w:val="00523ED6"/>
    <w:rsid w:val="00530F7E"/>
    <w:rsid w:val="0053197F"/>
    <w:rsid w:val="00542E61"/>
    <w:rsid w:val="00545F24"/>
    <w:rsid w:val="005476F7"/>
    <w:rsid w:val="00551C20"/>
    <w:rsid w:val="00552B88"/>
    <w:rsid w:val="0055312C"/>
    <w:rsid w:val="00557586"/>
    <w:rsid w:val="00560A41"/>
    <w:rsid w:val="005651F9"/>
    <w:rsid w:val="00566E7B"/>
    <w:rsid w:val="00580A0F"/>
    <w:rsid w:val="00580A5F"/>
    <w:rsid w:val="0058122A"/>
    <w:rsid w:val="0058174E"/>
    <w:rsid w:val="005959D3"/>
    <w:rsid w:val="005976FA"/>
    <w:rsid w:val="005A2496"/>
    <w:rsid w:val="005A3211"/>
    <w:rsid w:val="005B3CAA"/>
    <w:rsid w:val="005B52FC"/>
    <w:rsid w:val="005B555F"/>
    <w:rsid w:val="005C57D6"/>
    <w:rsid w:val="005C7113"/>
    <w:rsid w:val="005E2C2B"/>
    <w:rsid w:val="005E6039"/>
    <w:rsid w:val="005F1BD1"/>
    <w:rsid w:val="005F3BD7"/>
    <w:rsid w:val="0060698E"/>
    <w:rsid w:val="00610AF9"/>
    <w:rsid w:val="006129B0"/>
    <w:rsid w:val="0062188F"/>
    <w:rsid w:val="006228BF"/>
    <w:rsid w:val="00625663"/>
    <w:rsid w:val="006308DC"/>
    <w:rsid w:val="00631E8F"/>
    <w:rsid w:val="006322C3"/>
    <w:rsid w:val="00641296"/>
    <w:rsid w:val="006428E6"/>
    <w:rsid w:val="006461F1"/>
    <w:rsid w:val="00651047"/>
    <w:rsid w:val="00655356"/>
    <w:rsid w:val="00657089"/>
    <w:rsid w:val="00657DDC"/>
    <w:rsid w:val="006603B3"/>
    <w:rsid w:val="006708B9"/>
    <w:rsid w:val="006723D5"/>
    <w:rsid w:val="00673C2E"/>
    <w:rsid w:val="00677F07"/>
    <w:rsid w:val="00681632"/>
    <w:rsid w:val="0069565F"/>
    <w:rsid w:val="00697231"/>
    <w:rsid w:val="006A027D"/>
    <w:rsid w:val="006A2488"/>
    <w:rsid w:val="006A4D46"/>
    <w:rsid w:val="006B47E4"/>
    <w:rsid w:val="006D327C"/>
    <w:rsid w:val="006D5AA3"/>
    <w:rsid w:val="006F24CC"/>
    <w:rsid w:val="006F2A50"/>
    <w:rsid w:val="006F6644"/>
    <w:rsid w:val="006F7E90"/>
    <w:rsid w:val="00701AE8"/>
    <w:rsid w:val="007026E5"/>
    <w:rsid w:val="007068C3"/>
    <w:rsid w:val="00711778"/>
    <w:rsid w:val="00712FF3"/>
    <w:rsid w:val="00716458"/>
    <w:rsid w:val="00717A86"/>
    <w:rsid w:val="00720027"/>
    <w:rsid w:val="007218EB"/>
    <w:rsid w:val="0072229E"/>
    <w:rsid w:val="00727353"/>
    <w:rsid w:val="007339A7"/>
    <w:rsid w:val="00734A59"/>
    <w:rsid w:val="00736D9D"/>
    <w:rsid w:val="00741717"/>
    <w:rsid w:val="00744442"/>
    <w:rsid w:val="007445D0"/>
    <w:rsid w:val="007511F3"/>
    <w:rsid w:val="00755FA3"/>
    <w:rsid w:val="00775A24"/>
    <w:rsid w:val="00783CBA"/>
    <w:rsid w:val="00785256"/>
    <w:rsid w:val="00786D57"/>
    <w:rsid w:val="007877C7"/>
    <w:rsid w:val="00787DEB"/>
    <w:rsid w:val="007960CF"/>
    <w:rsid w:val="007A0ABA"/>
    <w:rsid w:val="007A0CF4"/>
    <w:rsid w:val="007A3E35"/>
    <w:rsid w:val="007B2A7F"/>
    <w:rsid w:val="007B4755"/>
    <w:rsid w:val="007B5302"/>
    <w:rsid w:val="007B69FC"/>
    <w:rsid w:val="007B77D8"/>
    <w:rsid w:val="007C2F62"/>
    <w:rsid w:val="007C546A"/>
    <w:rsid w:val="007C618E"/>
    <w:rsid w:val="007C69DF"/>
    <w:rsid w:val="007C6D95"/>
    <w:rsid w:val="007D0D1F"/>
    <w:rsid w:val="007D3263"/>
    <w:rsid w:val="007D4CDB"/>
    <w:rsid w:val="007D5450"/>
    <w:rsid w:val="007D65FE"/>
    <w:rsid w:val="007D7698"/>
    <w:rsid w:val="007D7944"/>
    <w:rsid w:val="007D7CEB"/>
    <w:rsid w:val="007E4F4D"/>
    <w:rsid w:val="007E54DF"/>
    <w:rsid w:val="007F3F12"/>
    <w:rsid w:val="007F7C14"/>
    <w:rsid w:val="008004D1"/>
    <w:rsid w:val="008022CD"/>
    <w:rsid w:val="00802BC2"/>
    <w:rsid w:val="00805661"/>
    <w:rsid w:val="00805807"/>
    <w:rsid w:val="00807E26"/>
    <w:rsid w:val="008132B2"/>
    <w:rsid w:val="0081714F"/>
    <w:rsid w:val="00817C77"/>
    <w:rsid w:val="008202FD"/>
    <w:rsid w:val="00824F5C"/>
    <w:rsid w:val="00827275"/>
    <w:rsid w:val="008314EB"/>
    <w:rsid w:val="00834DF0"/>
    <w:rsid w:val="00842B74"/>
    <w:rsid w:val="00847EA5"/>
    <w:rsid w:val="0085084D"/>
    <w:rsid w:val="00851309"/>
    <w:rsid w:val="00851685"/>
    <w:rsid w:val="00851774"/>
    <w:rsid w:val="00856E30"/>
    <w:rsid w:val="00863F1D"/>
    <w:rsid w:val="00865249"/>
    <w:rsid w:val="00881988"/>
    <w:rsid w:val="00883EAF"/>
    <w:rsid w:val="00884AFB"/>
    <w:rsid w:val="00893B10"/>
    <w:rsid w:val="00896D3D"/>
    <w:rsid w:val="008A059E"/>
    <w:rsid w:val="008A2BCD"/>
    <w:rsid w:val="008A373F"/>
    <w:rsid w:val="008A7ECD"/>
    <w:rsid w:val="008B0DAA"/>
    <w:rsid w:val="008B2048"/>
    <w:rsid w:val="008C087A"/>
    <w:rsid w:val="008C3935"/>
    <w:rsid w:val="008C521D"/>
    <w:rsid w:val="008C7AAE"/>
    <w:rsid w:val="008D0BB2"/>
    <w:rsid w:val="008D1ADD"/>
    <w:rsid w:val="008D5CFD"/>
    <w:rsid w:val="008E145A"/>
    <w:rsid w:val="008E21D9"/>
    <w:rsid w:val="008E2877"/>
    <w:rsid w:val="008E50DD"/>
    <w:rsid w:val="008F101E"/>
    <w:rsid w:val="008F2BD4"/>
    <w:rsid w:val="008F48EB"/>
    <w:rsid w:val="008F66D8"/>
    <w:rsid w:val="00905F64"/>
    <w:rsid w:val="009123D9"/>
    <w:rsid w:val="00912563"/>
    <w:rsid w:val="00914BF2"/>
    <w:rsid w:val="0091507B"/>
    <w:rsid w:val="00921836"/>
    <w:rsid w:val="00923EFC"/>
    <w:rsid w:val="00927969"/>
    <w:rsid w:val="009331DF"/>
    <w:rsid w:val="00934C7E"/>
    <w:rsid w:val="009404CD"/>
    <w:rsid w:val="00940AAE"/>
    <w:rsid w:val="00945299"/>
    <w:rsid w:val="00952863"/>
    <w:rsid w:val="0095531D"/>
    <w:rsid w:val="00955969"/>
    <w:rsid w:val="0096345E"/>
    <w:rsid w:val="00963833"/>
    <w:rsid w:val="00963AA7"/>
    <w:rsid w:val="00963EA8"/>
    <w:rsid w:val="00965993"/>
    <w:rsid w:val="00970A7F"/>
    <w:rsid w:val="00972A35"/>
    <w:rsid w:val="00974819"/>
    <w:rsid w:val="0097537C"/>
    <w:rsid w:val="00980629"/>
    <w:rsid w:val="00982931"/>
    <w:rsid w:val="009836A2"/>
    <w:rsid w:val="00986448"/>
    <w:rsid w:val="0099307F"/>
    <w:rsid w:val="00996600"/>
    <w:rsid w:val="00997A5D"/>
    <w:rsid w:val="009A2FD5"/>
    <w:rsid w:val="009A7468"/>
    <w:rsid w:val="009B5C9B"/>
    <w:rsid w:val="009C43A4"/>
    <w:rsid w:val="009C5B0C"/>
    <w:rsid w:val="009C71BA"/>
    <w:rsid w:val="009D0D08"/>
    <w:rsid w:val="009D4BBC"/>
    <w:rsid w:val="009D7CAC"/>
    <w:rsid w:val="009E580F"/>
    <w:rsid w:val="009F23A5"/>
    <w:rsid w:val="009F4F8B"/>
    <w:rsid w:val="00A005E2"/>
    <w:rsid w:val="00A03392"/>
    <w:rsid w:val="00A0722A"/>
    <w:rsid w:val="00A076E5"/>
    <w:rsid w:val="00A10F52"/>
    <w:rsid w:val="00A14B64"/>
    <w:rsid w:val="00A14BED"/>
    <w:rsid w:val="00A154B8"/>
    <w:rsid w:val="00A15E3F"/>
    <w:rsid w:val="00A163C8"/>
    <w:rsid w:val="00A17C13"/>
    <w:rsid w:val="00A21988"/>
    <w:rsid w:val="00A238C1"/>
    <w:rsid w:val="00A2456F"/>
    <w:rsid w:val="00A26519"/>
    <w:rsid w:val="00A308AF"/>
    <w:rsid w:val="00A309EF"/>
    <w:rsid w:val="00A30C59"/>
    <w:rsid w:val="00A32EF8"/>
    <w:rsid w:val="00A33DF6"/>
    <w:rsid w:val="00A344D1"/>
    <w:rsid w:val="00A372BB"/>
    <w:rsid w:val="00A50371"/>
    <w:rsid w:val="00A523C0"/>
    <w:rsid w:val="00A54811"/>
    <w:rsid w:val="00A62EFF"/>
    <w:rsid w:val="00A64DFD"/>
    <w:rsid w:val="00A72861"/>
    <w:rsid w:val="00A73B32"/>
    <w:rsid w:val="00A73B95"/>
    <w:rsid w:val="00A73D16"/>
    <w:rsid w:val="00A74142"/>
    <w:rsid w:val="00A82F63"/>
    <w:rsid w:val="00A872D7"/>
    <w:rsid w:val="00A907A3"/>
    <w:rsid w:val="00A96583"/>
    <w:rsid w:val="00AA0D87"/>
    <w:rsid w:val="00AA52C9"/>
    <w:rsid w:val="00AA7F3B"/>
    <w:rsid w:val="00AB1874"/>
    <w:rsid w:val="00AC004C"/>
    <w:rsid w:val="00AC252E"/>
    <w:rsid w:val="00AC4141"/>
    <w:rsid w:val="00AC465E"/>
    <w:rsid w:val="00AC6FC0"/>
    <w:rsid w:val="00AC75E5"/>
    <w:rsid w:val="00AD0001"/>
    <w:rsid w:val="00AD2DE2"/>
    <w:rsid w:val="00AD4E60"/>
    <w:rsid w:val="00AD5E09"/>
    <w:rsid w:val="00AE096C"/>
    <w:rsid w:val="00AE396E"/>
    <w:rsid w:val="00AE4327"/>
    <w:rsid w:val="00AF3773"/>
    <w:rsid w:val="00AF6DB3"/>
    <w:rsid w:val="00B00B48"/>
    <w:rsid w:val="00B07050"/>
    <w:rsid w:val="00B11B00"/>
    <w:rsid w:val="00B1682E"/>
    <w:rsid w:val="00B177A9"/>
    <w:rsid w:val="00B21316"/>
    <w:rsid w:val="00B2246E"/>
    <w:rsid w:val="00B2362E"/>
    <w:rsid w:val="00B258EA"/>
    <w:rsid w:val="00B30163"/>
    <w:rsid w:val="00B41FA5"/>
    <w:rsid w:val="00B54208"/>
    <w:rsid w:val="00B56851"/>
    <w:rsid w:val="00B60432"/>
    <w:rsid w:val="00B62A87"/>
    <w:rsid w:val="00B62D78"/>
    <w:rsid w:val="00B70450"/>
    <w:rsid w:val="00B74AA7"/>
    <w:rsid w:val="00B77FE7"/>
    <w:rsid w:val="00B8190D"/>
    <w:rsid w:val="00B8192C"/>
    <w:rsid w:val="00B827CE"/>
    <w:rsid w:val="00B84910"/>
    <w:rsid w:val="00B8550B"/>
    <w:rsid w:val="00B86EA8"/>
    <w:rsid w:val="00B8793B"/>
    <w:rsid w:val="00B96B12"/>
    <w:rsid w:val="00BA12F0"/>
    <w:rsid w:val="00BA312F"/>
    <w:rsid w:val="00BB1D63"/>
    <w:rsid w:val="00BB3CE5"/>
    <w:rsid w:val="00BC503B"/>
    <w:rsid w:val="00BC509E"/>
    <w:rsid w:val="00BC5CFE"/>
    <w:rsid w:val="00BD40A1"/>
    <w:rsid w:val="00BE2571"/>
    <w:rsid w:val="00BE5057"/>
    <w:rsid w:val="00BE6EE1"/>
    <w:rsid w:val="00BF12F8"/>
    <w:rsid w:val="00BF2744"/>
    <w:rsid w:val="00C02426"/>
    <w:rsid w:val="00C04B8B"/>
    <w:rsid w:val="00C056DC"/>
    <w:rsid w:val="00C13C21"/>
    <w:rsid w:val="00C162D2"/>
    <w:rsid w:val="00C25335"/>
    <w:rsid w:val="00C323ED"/>
    <w:rsid w:val="00C427A2"/>
    <w:rsid w:val="00C44BB1"/>
    <w:rsid w:val="00C53A88"/>
    <w:rsid w:val="00C566C3"/>
    <w:rsid w:val="00C64126"/>
    <w:rsid w:val="00C76C45"/>
    <w:rsid w:val="00C808A3"/>
    <w:rsid w:val="00C83E8B"/>
    <w:rsid w:val="00C85A9A"/>
    <w:rsid w:val="00C91872"/>
    <w:rsid w:val="00C9217E"/>
    <w:rsid w:val="00C92E9D"/>
    <w:rsid w:val="00C93B20"/>
    <w:rsid w:val="00C95BBD"/>
    <w:rsid w:val="00CA0F4A"/>
    <w:rsid w:val="00CA1215"/>
    <w:rsid w:val="00CA2166"/>
    <w:rsid w:val="00CA44BF"/>
    <w:rsid w:val="00CA631E"/>
    <w:rsid w:val="00CA7989"/>
    <w:rsid w:val="00CB3E5C"/>
    <w:rsid w:val="00CB5281"/>
    <w:rsid w:val="00CC1C2F"/>
    <w:rsid w:val="00CC1F8F"/>
    <w:rsid w:val="00CC32ED"/>
    <w:rsid w:val="00CC63F5"/>
    <w:rsid w:val="00CC7C52"/>
    <w:rsid w:val="00CD1730"/>
    <w:rsid w:val="00CD3928"/>
    <w:rsid w:val="00CE191E"/>
    <w:rsid w:val="00CE50BB"/>
    <w:rsid w:val="00CE58F0"/>
    <w:rsid w:val="00CE71A9"/>
    <w:rsid w:val="00CF44D7"/>
    <w:rsid w:val="00CF5372"/>
    <w:rsid w:val="00CF5B2F"/>
    <w:rsid w:val="00CF61FD"/>
    <w:rsid w:val="00D07E57"/>
    <w:rsid w:val="00D104A2"/>
    <w:rsid w:val="00D15336"/>
    <w:rsid w:val="00D15E10"/>
    <w:rsid w:val="00D20100"/>
    <w:rsid w:val="00D207D0"/>
    <w:rsid w:val="00D20DEB"/>
    <w:rsid w:val="00D24A7B"/>
    <w:rsid w:val="00D24E34"/>
    <w:rsid w:val="00D279DA"/>
    <w:rsid w:val="00D338CF"/>
    <w:rsid w:val="00D36229"/>
    <w:rsid w:val="00D404F8"/>
    <w:rsid w:val="00D503B4"/>
    <w:rsid w:val="00D539F2"/>
    <w:rsid w:val="00D55711"/>
    <w:rsid w:val="00D55A63"/>
    <w:rsid w:val="00D6081F"/>
    <w:rsid w:val="00D83047"/>
    <w:rsid w:val="00D836B7"/>
    <w:rsid w:val="00D854A1"/>
    <w:rsid w:val="00D857D8"/>
    <w:rsid w:val="00D91334"/>
    <w:rsid w:val="00D921A7"/>
    <w:rsid w:val="00D9240A"/>
    <w:rsid w:val="00D92A41"/>
    <w:rsid w:val="00DA30F7"/>
    <w:rsid w:val="00DB15C8"/>
    <w:rsid w:val="00DB1FBE"/>
    <w:rsid w:val="00DB2649"/>
    <w:rsid w:val="00DB2D42"/>
    <w:rsid w:val="00DC1AD8"/>
    <w:rsid w:val="00DC1F38"/>
    <w:rsid w:val="00DC2D44"/>
    <w:rsid w:val="00DD0269"/>
    <w:rsid w:val="00DD4E44"/>
    <w:rsid w:val="00DD7334"/>
    <w:rsid w:val="00DD7A18"/>
    <w:rsid w:val="00DE12E5"/>
    <w:rsid w:val="00DF4E21"/>
    <w:rsid w:val="00E046C4"/>
    <w:rsid w:val="00E05765"/>
    <w:rsid w:val="00E070ED"/>
    <w:rsid w:val="00E10697"/>
    <w:rsid w:val="00E1394C"/>
    <w:rsid w:val="00E14C65"/>
    <w:rsid w:val="00E24237"/>
    <w:rsid w:val="00E34600"/>
    <w:rsid w:val="00E357E6"/>
    <w:rsid w:val="00E4684C"/>
    <w:rsid w:val="00E4721F"/>
    <w:rsid w:val="00E50E36"/>
    <w:rsid w:val="00E513DA"/>
    <w:rsid w:val="00E52125"/>
    <w:rsid w:val="00E546D5"/>
    <w:rsid w:val="00E5747D"/>
    <w:rsid w:val="00E6559D"/>
    <w:rsid w:val="00E66080"/>
    <w:rsid w:val="00E665B9"/>
    <w:rsid w:val="00E72AC8"/>
    <w:rsid w:val="00E83EE1"/>
    <w:rsid w:val="00E85A0A"/>
    <w:rsid w:val="00E90289"/>
    <w:rsid w:val="00E909A0"/>
    <w:rsid w:val="00E91D21"/>
    <w:rsid w:val="00E950D9"/>
    <w:rsid w:val="00EA021D"/>
    <w:rsid w:val="00EA6650"/>
    <w:rsid w:val="00EA7321"/>
    <w:rsid w:val="00EB033E"/>
    <w:rsid w:val="00EB42BB"/>
    <w:rsid w:val="00EB66D4"/>
    <w:rsid w:val="00EC7B12"/>
    <w:rsid w:val="00ED06AE"/>
    <w:rsid w:val="00ED4FB8"/>
    <w:rsid w:val="00ED67B3"/>
    <w:rsid w:val="00EE169E"/>
    <w:rsid w:val="00EE35D7"/>
    <w:rsid w:val="00EE3B71"/>
    <w:rsid w:val="00EE4386"/>
    <w:rsid w:val="00EE6B15"/>
    <w:rsid w:val="00EE7A3A"/>
    <w:rsid w:val="00EE7D58"/>
    <w:rsid w:val="00EF1537"/>
    <w:rsid w:val="00EF50FB"/>
    <w:rsid w:val="00F17754"/>
    <w:rsid w:val="00F17E4C"/>
    <w:rsid w:val="00F20BDC"/>
    <w:rsid w:val="00F21E73"/>
    <w:rsid w:val="00F232B7"/>
    <w:rsid w:val="00F3361B"/>
    <w:rsid w:val="00F34526"/>
    <w:rsid w:val="00F34F84"/>
    <w:rsid w:val="00F360C1"/>
    <w:rsid w:val="00F373DC"/>
    <w:rsid w:val="00F45F75"/>
    <w:rsid w:val="00F52248"/>
    <w:rsid w:val="00F54A67"/>
    <w:rsid w:val="00F55661"/>
    <w:rsid w:val="00F55CD8"/>
    <w:rsid w:val="00F56BE4"/>
    <w:rsid w:val="00F62D14"/>
    <w:rsid w:val="00F6325C"/>
    <w:rsid w:val="00F64111"/>
    <w:rsid w:val="00F67140"/>
    <w:rsid w:val="00F777A9"/>
    <w:rsid w:val="00F820EE"/>
    <w:rsid w:val="00F82949"/>
    <w:rsid w:val="00F93904"/>
    <w:rsid w:val="00F952EF"/>
    <w:rsid w:val="00F97F3A"/>
    <w:rsid w:val="00FA4CA7"/>
    <w:rsid w:val="00FA6E2B"/>
    <w:rsid w:val="00FB135F"/>
    <w:rsid w:val="00FD6A6B"/>
    <w:rsid w:val="00FE0C07"/>
    <w:rsid w:val="00FE398E"/>
    <w:rsid w:val="00FF3FB8"/>
    <w:rsid w:val="00FF6EBF"/>
    <w:rsid w:val="05CBBBAA"/>
    <w:rsid w:val="0844851F"/>
    <w:rsid w:val="0B01E73B"/>
    <w:rsid w:val="0C6E2186"/>
    <w:rsid w:val="0CE820C3"/>
    <w:rsid w:val="105D5DCC"/>
    <w:rsid w:val="14EDF3CD"/>
    <w:rsid w:val="1E9CC6A4"/>
    <w:rsid w:val="20A7D0D9"/>
    <w:rsid w:val="20EAAF45"/>
    <w:rsid w:val="3030AAA9"/>
    <w:rsid w:val="3208EDB0"/>
    <w:rsid w:val="344E022D"/>
    <w:rsid w:val="38BA7450"/>
    <w:rsid w:val="39D563B9"/>
    <w:rsid w:val="40B4E15E"/>
    <w:rsid w:val="460E4C53"/>
    <w:rsid w:val="469886D5"/>
    <w:rsid w:val="4B0049AB"/>
    <w:rsid w:val="4F01A466"/>
    <w:rsid w:val="5105E87E"/>
    <w:rsid w:val="52353F81"/>
    <w:rsid w:val="5316813A"/>
    <w:rsid w:val="540B5665"/>
    <w:rsid w:val="54510F42"/>
    <w:rsid w:val="5BDFCD45"/>
    <w:rsid w:val="604B029C"/>
    <w:rsid w:val="68853AFA"/>
    <w:rsid w:val="6CB167DE"/>
    <w:rsid w:val="70BBA245"/>
    <w:rsid w:val="75F42438"/>
    <w:rsid w:val="7717B4BC"/>
    <w:rsid w:val="7BDA7E38"/>
    <w:rsid w:val="7BF85082"/>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7762"/>
  <w15:chartTrackingRefBased/>
  <w15:docId w15:val="{979B127B-96C0-4EF3-9738-C5789C33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63"/>
  </w:style>
  <w:style w:type="paragraph" w:styleId="Naslov1">
    <w:name w:val="heading 1"/>
    <w:basedOn w:val="Normal"/>
    <w:next w:val="Normal"/>
    <w:link w:val="Naslov1Char"/>
    <w:uiPriority w:val="9"/>
    <w:qFormat/>
    <w:rsid w:val="009C4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9C4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9C43A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C43A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C43A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C43A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C43A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C43A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C43A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C43A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9C43A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9C43A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9C43A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9C43A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9C43A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C43A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C43A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C43A4"/>
    <w:rPr>
      <w:rFonts w:eastAsiaTheme="majorEastAsia" w:cstheme="majorBidi"/>
      <w:color w:val="272727" w:themeColor="text1" w:themeTint="D8"/>
    </w:rPr>
  </w:style>
  <w:style w:type="paragraph" w:styleId="Naslov">
    <w:name w:val="Title"/>
    <w:basedOn w:val="Normal"/>
    <w:next w:val="Normal"/>
    <w:link w:val="NaslovChar"/>
    <w:uiPriority w:val="10"/>
    <w:qFormat/>
    <w:rsid w:val="009C4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C43A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C43A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C43A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C43A4"/>
    <w:pPr>
      <w:spacing w:before="160"/>
      <w:jc w:val="center"/>
    </w:pPr>
    <w:rPr>
      <w:i/>
      <w:iCs/>
      <w:color w:val="404040" w:themeColor="text1" w:themeTint="BF"/>
    </w:rPr>
  </w:style>
  <w:style w:type="character" w:customStyle="1" w:styleId="CitatChar">
    <w:name w:val="Citat Char"/>
    <w:basedOn w:val="Zadanifontodlomka"/>
    <w:link w:val="Citat"/>
    <w:uiPriority w:val="29"/>
    <w:rsid w:val="009C43A4"/>
    <w:rPr>
      <w:i/>
      <w:iCs/>
      <w:color w:val="404040" w:themeColor="text1" w:themeTint="BF"/>
    </w:rPr>
  </w:style>
  <w:style w:type="paragraph" w:styleId="Odlomakpopisa">
    <w:name w:val="List Paragraph"/>
    <w:aliases w:val="REPORT Bullet,Lettre d'introduction,Resume Title,Citation List,Paragrafo elenco,List Paragraph1,1st level - Bullet List Paragraph,Paragraph,List Paragraph Red,lp1,Heading 12,heading 1,naslov 1,Naslov 12,Graf,En tête 1,Table/Figure Heading"/>
    <w:basedOn w:val="Normal"/>
    <w:link w:val="OdlomakpopisaChar"/>
    <w:uiPriority w:val="1"/>
    <w:qFormat/>
    <w:rsid w:val="009C43A4"/>
    <w:pPr>
      <w:ind w:left="720"/>
      <w:contextualSpacing/>
    </w:pPr>
  </w:style>
  <w:style w:type="character" w:styleId="Jakoisticanje">
    <w:name w:val="Intense Emphasis"/>
    <w:basedOn w:val="Zadanifontodlomka"/>
    <w:uiPriority w:val="21"/>
    <w:qFormat/>
    <w:rsid w:val="009C43A4"/>
    <w:rPr>
      <w:i/>
      <w:iCs/>
      <w:color w:val="0F4761" w:themeColor="accent1" w:themeShade="BF"/>
    </w:rPr>
  </w:style>
  <w:style w:type="paragraph" w:styleId="Naglaencitat">
    <w:name w:val="Intense Quote"/>
    <w:basedOn w:val="Normal"/>
    <w:next w:val="Normal"/>
    <w:link w:val="NaglaencitatChar"/>
    <w:uiPriority w:val="30"/>
    <w:qFormat/>
    <w:rsid w:val="009C4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C43A4"/>
    <w:rPr>
      <w:i/>
      <w:iCs/>
      <w:color w:val="0F4761" w:themeColor="accent1" w:themeShade="BF"/>
    </w:rPr>
  </w:style>
  <w:style w:type="character" w:styleId="Istaknutareferenca">
    <w:name w:val="Intense Reference"/>
    <w:basedOn w:val="Zadanifontodlomka"/>
    <w:uiPriority w:val="32"/>
    <w:qFormat/>
    <w:rsid w:val="009C43A4"/>
    <w:rPr>
      <w:b/>
      <w:bCs/>
      <w:smallCaps/>
      <w:color w:val="0F4761" w:themeColor="accent1" w:themeShade="BF"/>
      <w:spacing w:val="5"/>
    </w:rPr>
  </w:style>
  <w:style w:type="paragraph" w:styleId="Zaglavlje">
    <w:name w:val="header"/>
    <w:basedOn w:val="Normal"/>
    <w:link w:val="ZaglavljeChar"/>
    <w:uiPriority w:val="99"/>
    <w:unhideWhenUsed/>
    <w:rsid w:val="009C43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C43A4"/>
  </w:style>
  <w:style w:type="paragraph" w:styleId="Podnoje">
    <w:name w:val="footer"/>
    <w:basedOn w:val="Normal"/>
    <w:link w:val="PodnojeChar"/>
    <w:uiPriority w:val="99"/>
    <w:unhideWhenUsed/>
    <w:rsid w:val="009C43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C43A4"/>
  </w:style>
  <w:style w:type="table" w:styleId="Reetkatablice">
    <w:name w:val="Table Grid"/>
    <w:basedOn w:val="Obinatablica"/>
    <w:uiPriority w:val="39"/>
    <w:rsid w:val="007200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unhideWhenUsed/>
    <w:rsid w:val="00720027"/>
    <w:pPr>
      <w:spacing w:after="0" w:line="240" w:lineRule="auto"/>
    </w:pPr>
    <w:rPr>
      <w:sz w:val="20"/>
      <w:szCs w:val="20"/>
    </w:rPr>
  </w:style>
  <w:style w:type="character" w:customStyle="1" w:styleId="TekstfusnoteChar">
    <w:name w:val="Tekst fusnote Char"/>
    <w:basedOn w:val="Zadanifontodlomka"/>
    <w:link w:val="Tekstfusnote"/>
    <w:uiPriority w:val="99"/>
    <w:rsid w:val="00720027"/>
    <w:rPr>
      <w:sz w:val="20"/>
      <w:szCs w:val="20"/>
    </w:rPr>
  </w:style>
  <w:style w:type="character" w:styleId="Referencafusnote">
    <w:name w:val="footnote reference"/>
    <w:basedOn w:val="Zadanifontodlomka"/>
    <w:uiPriority w:val="99"/>
    <w:unhideWhenUsed/>
    <w:rsid w:val="00720027"/>
    <w:rPr>
      <w:vertAlign w:val="superscript"/>
    </w:rPr>
  </w:style>
  <w:style w:type="character" w:styleId="Hiperveza">
    <w:name w:val="Hyperlink"/>
    <w:basedOn w:val="Zadanifontodlomka"/>
    <w:uiPriority w:val="99"/>
    <w:unhideWhenUsed/>
    <w:rsid w:val="00720027"/>
    <w:rPr>
      <w:color w:val="467886" w:themeColor="hyperlink"/>
      <w:u w:val="single"/>
    </w:rPr>
  </w:style>
  <w:style w:type="paragraph" w:styleId="Tekstkomentara">
    <w:name w:val="annotation text"/>
    <w:basedOn w:val="Normal"/>
    <w:link w:val="TekstkomentaraChar"/>
    <w:uiPriority w:val="99"/>
    <w:unhideWhenUsed/>
    <w:rsid w:val="00720027"/>
    <w:pPr>
      <w:spacing w:after="0" w:line="240" w:lineRule="auto"/>
    </w:pPr>
    <w:rPr>
      <w:sz w:val="20"/>
      <w:szCs w:val="20"/>
    </w:rPr>
  </w:style>
  <w:style w:type="character" w:customStyle="1" w:styleId="TekstkomentaraChar">
    <w:name w:val="Tekst komentara Char"/>
    <w:basedOn w:val="Zadanifontodlomka"/>
    <w:link w:val="Tekstkomentara"/>
    <w:uiPriority w:val="99"/>
    <w:rsid w:val="00720027"/>
    <w:rPr>
      <w:sz w:val="20"/>
      <w:szCs w:val="20"/>
    </w:rPr>
  </w:style>
  <w:style w:type="character" w:styleId="Referencakomentara">
    <w:name w:val="annotation reference"/>
    <w:basedOn w:val="Zadanifontodlomka"/>
    <w:uiPriority w:val="99"/>
    <w:unhideWhenUsed/>
    <w:rsid w:val="00720027"/>
    <w:rPr>
      <w:sz w:val="16"/>
      <w:szCs w:val="16"/>
    </w:rPr>
  </w:style>
  <w:style w:type="paragraph" w:customStyle="1" w:styleId="paragraph">
    <w:name w:val="paragraph"/>
    <w:basedOn w:val="Normal"/>
    <w:rsid w:val="0072002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normaltextrun">
    <w:name w:val="normaltextrun"/>
    <w:basedOn w:val="Zadanifontodlomka"/>
    <w:rsid w:val="00720027"/>
  </w:style>
  <w:style w:type="character" w:customStyle="1" w:styleId="eop">
    <w:name w:val="eop"/>
    <w:basedOn w:val="Zadanifontodlomka"/>
    <w:rsid w:val="00720027"/>
  </w:style>
  <w:style w:type="character" w:styleId="Nerijeenospominjanje">
    <w:name w:val="Unresolved Mention"/>
    <w:basedOn w:val="Zadanifontodlomka"/>
    <w:uiPriority w:val="99"/>
    <w:semiHidden/>
    <w:unhideWhenUsed/>
    <w:rsid w:val="004D479D"/>
    <w:rPr>
      <w:color w:val="605E5C"/>
      <w:shd w:val="clear" w:color="auto" w:fill="E1DFDD"/>
    </w:rPr>
  </w:style>
  <w:style w:type="paragraph" w:styleId="Predmetkomentara">
    <w:name w:val="annotation subject"/>
    <w:basedOn w:val="Tekstkomentara"/>
    <w:next w:val="Tekstkomentara"/>
    <w:link w:val="PredmetkomentaraChar"/>
    <w:uiPriority w:val="99"/>
    <w:semiHidden/>
    <w:unhideWhenUsed/>
    <w:rsid w:val="00FE398E"/>
    <w:pPr>
      <w:spacing w:after="160"/>
    </w:pPr>
    <w:rPr>
      <w:b/>
      <w:bCs/>
    </w:rPr>
  </w:style>
  <w:style w:type="character" w:customStyle="1" w:styleId="PredmetkomentaraChar">
    <w:name w:val="Predmet komentara Char"/>
    <w:basedOn w:val="TekstkomentaraChar"/>
    <w:link w:val="Predmetkomentara"/>
    <w:uiPriority w:val="99"/>
    <w:semiHidden/>
    <w:rsid w:val="00FE398E"/>
    <w:rPr>
      <w:b/>
      <w:bCs/>
      <w:sz w:val="20"/>
      <w:szCs w:val="20"/>
    </w:rPr>
  </w:style>
  <w:style w:type="paragraph" w:styleId="Revizija">
    <w:name w:val="Revision"/>
    <w:hidden/>
    <w:uiPriority w:val="99"/>
    <w:semiHidden/>
    <w:rsid w:val="007D5450"/>
    <w:pPr>
      <w:spacing w:after="0" w:line="240" w:lineRule="auto"/>
    </w:pPr>
  </w:style>
  <w:style w:type="character" w:customStyle="1" w:styleId="OdlomakpopisaChar">
    <w:name w:val="Odlomak popisa Char"/>
    <w:aliases w:val="REPORT Bullet Char,Lettre d'introduction Char,Resume Title Char,Citation List Char,Paragrafo elenco Char,List Paragraph1 Char,1st level - Bullet List Paragraph Char,Paragraph Char,List Paragraph Red Char,lp1 Char,Heading 12 Char"/>
    <w:basedOn w:val="Zadanifontodlomka"/>
    <w:link w:val="Odlomakpopisa"/>
    <w:uiPriority w:val="34"/>
    <w:qFormat/>
    <w:locked/>
    <w:rsid w:val="00337F41"/>
  </w:style>
  <w:style w:type="character" w:customStyle="1" w:styleId="ui-provider">
    <w:name w:val="ui-provider"/>
    <w:basedOn w:val="Zadanifontodlomka"/>
    <w:rsid w:val="00CB5281"/>
  </w:style>
  <w:style w:type="character" w:styleId="SlijeenaHiperveza">
    <w:name w:val="FollowedHyperlink"/>
    <w:basedOn w:val="Zadanifontodlomka"/>
    <w:uiPriority w:val="99"/>
    <w:semiHidden/>
    <w:unhideWhenUsed/>
    <w:rsid w:val="00E468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90248">
      <w:bodyDiv w:val="1"/>
      <w:marLeft w:val="0"/>
      <w:marRight w:val="0"/>
      <w:marTop w:val="0"/>
      <w:marBottom w:val="0"/>
      <w:divBdr>
        <w:top w:val="none" w:sz="0" w:space="0" w:color="auto"/>
        <w:left w:val="none" w:sz="0" w:space="0" w:color="auto"/>
        <w:bottom w:val="none" w:sz="0" w:space="0" w:color="auto"/>
        <w:right w:val="none" w:sz="0" w:space="0" w:color="auto"/>
      </w:divBdr>
    </w:div>
    <w:div w:id="14973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ztzg.hr/hr/i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72F8AC896724FBCF5F20C9FD05D21" ma:contentTypeVersion="16" ma:contentTypeDescription="Create a new document." ma:contentTypeScope="" ma:versionID="c2de82079bc6865f1ecdced5097bb41c">
  <xsd:schema xmlns:xsd="http://www.w3.org/2001/XMLSchema" xmlns:xs="http://www.w3.org/2001/XMLSchema" xmlns:p="http://schemas.microsoft.com/office/2006/metadata/properties" xmlns:ns2="cf130a50-404b-457a-b222-e256d01960cc" targetNamespace="http://schemas.microsoft.com/office/2006/metadata/properties" ma:root="true" ma:fieldsID="03c14315736b03f98637b5eabea28463" ns2:_="">
    <xsd:import namespace="cf130a50-404b-457a-b222-e256d0196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30a50-404b-457a-b222-e256d0196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60B23-8A5F-476F-97D7-856CEAF1D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30a50-404b-457a-b222-e256d019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E3E3A-3D69-45A1-B40A-B8407F9DFD22}">
  <ds:schemaRefs>
    <ds:schemaRef ds:uri="http://schemas.openxmlformats.org/officeDocument/2006/bibliography"/>
  </ds:schemaRefs>
</ds:datastoreItem>
</file>

<file path=customXml/itemProps3.xml><?xml version="1.0" encoding="utf-8"?>
<ds:datastoreItem xmlns:ds="http://schemas.openxmlformats.org/officeDocument/2006/customXml" ds:itemID="{8ADE69C1-6CBA-4C39-AB78-0F28431AD34F}">
  <ds:schemaRefs>
    <ds:schemaRef ds:uri="http://schemas.microsoft.com/sharepoint/v3/contenttype/forms"/>
  </ds:schemaRefs>
</ds:datastoreItem>
</file>

<file path=customXml/itemProps4.xml><?xml version="1.0" encoding="utf-8"?>
<ds:datastoreItem xmlns:ds="http://schemas.openxmlformats.org/officeDocument/2006/customXml" ds:itemID="{C49B41FC-5203-4639-A556-1FD0ED2133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4</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Links>
    <vt:vector size="6" baseType="variant">
      <vt:variant>
        <vt:i4>8323135</vt:i4>
      </vt:variant>
      <vt:variant>
        <vt:i4>0</vt:i4>
      </vt:variant>
      <vt:variant>
        <vt:i4>0</vt:i4>
      </vt:variant>
      <vt:variant>
        <vt:i4>5</vt:i4>
      </vt:variant>
      <vt:variant>
        <vt:lpwstr>http://www.iztzg.hr/hr/itr/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Ivana</dc:creator>
  <cp:keywords/>
  <dc:description/>
  <cp:lastModifiedBy>Mlinarec Natalija</cp:lastModifiedBy>
  <cp:revision>310</cp:revision>
  <cp:lastPrinted>2024-09-10T13:40:00Z</cp:lastPrinted>
  <dcterms:created xsi:type="dcterms:W3CDTF">2024-11-19T13:34:00Z</dcterms:created>
  <dcterms:modified xsi:type="dcterms:W3CDTF">2024-11-25T12:16:00Z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0x01010006172F8AC896724FBCF5F20C9FD05D21</vt:lpwstr>
  </property>
</Properties>
</file>